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jc w:val="center"/>
        <w:textAlignment w:val="auto"/>
        <w:rPr>
          <w:rFonts w:hint="default" w:ascii="宋体" w:hAnsi="宋体" w:cs="宋体"/>
          <w:b/>
          <w:color w:val="auto"/>
          <w:sz w:val="56"/>
          <w:szCs w:val="56"/>
          <w:highlight w:val="none"/>
          <w:lang w:val="en-US" w:eastAsia="zh-CN"/>
        </w:rPr>
      </w:pPr>
      <w:bookmarkStart w:id="0" w:name="_Toc155772381"/>
      <w:bookmarkStart w:id="1" w:name="_Toc48107370"/>
      <w:r>
        <w:rPr>
          <w:rFonts w:hint="eastAsia" w:ascii="宋体" w:hAnsi="宋体" w:cs="宋体"/>
          <w:b/>
          <w:color w:val="auto"/>
          <w:sz w:val="56"/>
          <w:szCs w:val="56"/>
          <w:highlight w:val="none"/>
          <w:lang w:val="en-US" w:eastAsia="zh-CN"/>
        </w:rPr>
        <w:t xml:space="preserve"> </w:t>
      </w:r>
    </w:p>
    <w:p>
      <w:pPr>
        <w:widowControl w:val="0"/>
        <w:wordWrap/>
        <w:adjustRightInd/>
        <w:snapToGrid/>
        <w:spacing w:line="240" w:lineRule="auto"/>
        <w:jc w:val="center"/>
        <w:textAlignment w:val="auto"/>
        <w:rPr>
          <w:rFonts w:hint="eastAsia" w:ascii="宋体" w:hAnsi="宋体" w:cs="宋体"/>
          <w:b/>
          <w:color w:val="auto"/>
          <w:sz w:val="56"/>
          <w:szCs w:val="56"/>
          <w:highlight w:val="none"/>
          <w:lang w:val="en-US" w:eastAsia="zh-CN"/>
        </w:rPr>
      </w:pPr>
    </w:p>
    <w:p>
      <w:pPr>
        <w:widowControl w:val="0"/>
        <w:wordWrap/>
        <w:adjustRightInd/>
        <w:snapToGrid/>
        <w:spacing w:line="240" w:lineRule="auto"/>
        <w:jc w:val="center"/>
        <w:textAlignment w:val="auto"/>
        <w:rPr>
          <w:rFonts w:hint="eastAsia" w:ascii="宋体" w:hAnsi="宋体" w:cs="宋体"/>
          <w:b/>
          <w:color w:val="auto"/>
          <w:sz w:val="56"/>
          <w:szCs w:val="56"/>
          <w:highlight w:val="none"/>
          <w:lang w:eastAsia="zh-CN"/>
        </w:rPr>
      </w:pPr>
      <w:r>
        <w:rPr>
          <w:rFonts w:hint="eastAsia" w:ascii="宋体" w:hAnsi="宋体" w:cs="宋体"/>
          <w:b/>
          <w:color w:val="auto"/>
          <w:sz w:val="56"/>
          <w:szCs w:val="56"/>
          <w:highlight w:val="none"/>
          <w:lang w:val="en-US" w:eastAsia="zh-CN"/>
        </w:rPr>
        <w:t>升级改造建设项目</w:t>
      </w:r>
    </w:p>
    <w:p>
      <w:pPr>
        <w:spacing w:line="900" w:lineRule="exact"/>
        <w:jc w:val="center"/>
        <w:rPr>
          <w:rFonts w:hint="eastAsia" w:ascii="宋体" w:hAnsi="宋体" w:cs="宋体"/>
          <w:b/>
          <w:color w:val="auto"/>
          <w:sz w:val="80"/>
          <w:szCs w:val="80"/>
          <w:highlight w:val="none"/>
        </w:rPr>
      </w:pPr>
      <w:bookmarkStart w:id="58" w:name="_GoBack"/>
      <w:bookmarkEnd w:id="58"/>
    </w:p>
    <w:p>
      <w:pPr>
        <w:widowControl w:val="0"/>
        <w:wordWrap/>
        <w:adjustRightInd/>
        <w:snapToGrid/>
        <w:spacing w:line="240" w:lineRule="auto"/>
        <w:jc w:val="center"/>
        <w:textAlignment w:val="auto"/>
        <w:rPr>
          <w:rFonts w:hint="eastAsia" w:ascii="宋体" w:hAnsi="宋体" w:cs="宋体"/>
          <w:b/>
          <w:color w:val="auto"/>
          <w:sz w:val="80"/>
          <w:szCs w:val="80"/>
          <w:highlight w:val="none"/>
        </w:rPr>
      </w:pPr>
      <w:r>
        <w:rPr>
          <w:rFonts w:hint="eastAsia" w:ascii="宋体" w:hAnsi="宋体" w:cs="宋体"/>
          <w:b/>
          <w:color w:val="auto"/>
          <w:sz w:val="56"/>
          <w:szCs w:val="56"/>
          <w:highlight w:val="none"/>
          <w:lang w:eastAsia="zh-CN"/>
        </w:rPr>
        <w:t>竞争性磋商文件</w:t>
      </w:r>
    </w:p>
    <w:p>
      <w:pPr>
        <w:rPr>
          <w:rFonts w:hint="eastAsia" w:ascii="宋体" w:hAnsi="宋体" w:cs="宋体"/>
          <w:b/>
          <w:color w:val="auto"/>
          <w:sz w:val="18"/>
          <w:szCs w:val="18"/>
          <w:highlight w:val="none"/>
        </w:rPr>
      </w:pPr>
    </w:p>
    <w:p>
      <w:pPr>
        <w:ind w:firstLine="3025" w:firstLineChars="945"/>
        <w:rPr>
          <w:rFonts w:hint="eastAsia" w:ascii="宋体" w:hAnsi="宋体" w:cs="宋体"/>
          <w:b/>
          <w:color w:val="auto"/>
          <w:sz w:val="32"/>
          <w:szCs w:val="32"/>
          <w:highlight w:val="none"/>
        </w:rPr>
      </w:pPr>
    </w:p>
    <w:p>
      <w:pPr>
        <w:ind w:firstLine="2561" w:firstLineChars="800"/>
        <w:jc w:val="both"/>
        <w:rPr>
          <w:rFonts w:hint="default" w:ascii="宋体" w:hAnsi="宋体" w:cs="宋体"/>
          <w:b/>
          <w:color w:val="auto"/>
          <w:sz w:val="52"/>
          <w:highlight w:val="none"/>
          <w:lang w:val="en-US"/>
        </w:rPr>
      </w:pPr>
      <w:r>
        <w:rPr>
          <w:rFonts w:hint="eastAsia" w:ascii="宋体" w:hAnsi="宋体" w:cs="宋体"/>
          <w:b/>
          <w:color w:val="auto"/>
          <w:sz w:val="32"/>
          <w:szCs w:val="32"/>
          <w:highlight w:val="none"/>
        </w:rPr>
        <w:t>项目编号：</w:t>
      </w:r>
      <w:r>
        <w:rPr>
          <w:rFonts w:hint="eastAsia" w:ascii="宋体" w:hAnsi="宋体" w:eastAsia="宋体" w:cs="宋体"/>
          <w:b/>
          <w:kern w:val="0"/>
          <w:sz w:val="32"/>
          <w:szCs w:val="32"/>
        </w:rPr>
        <w:t>CZJZ</w:t>
      </w:r>
      <w:r>
        <w:rPr>
          <w:rFonts w:hint="eastAsia" w:ascii="宋体" w:hAnsi="宋体" w:eastAsia="宋体" w:cs="宋体"/>
          <w:b/>
          <w:color w:val="auto"/>
          <w:kern w:val="0"/>
          <w:sz w:val="32"/>
          <w:szCs w:val="32"/>
          <w:highlight w:val="none"/>
          <w:lang w:val="en-US" w:eastAsia="zh-CN"/>
        </w:rPr>
        <w:t>-202504-01</w:t>
      </w:r>
    </w:p>
    <w:p>
      <w:pPr>
        <w:spacing w:line="360" w:lineRule="auto"/>
        <w:jc w:val="center"/>
        <w:rPr>
          <w:rFonts w:hint="eastAsia" w:ascii="宋体" w:hAnsi="宋体" w:cs="宋体"/>
          <w:b/>
          <w:color w:val="auto"/>
          <w:spacing w:val="12"/>
          <w:sz w:val="30"/>
          <w:szCs w:val="30"/>
          <w:highlight w:val="none"/>
        </w:rPr>
      </w:pPr>
    </w:p>
    <w:p>
      <w:pPr>
        <w:spacing w:line="360" w:lineRule="auto"/>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jc w:val="center"/>
        <w:textAlignment w:val="baseline"/>
        <w:rPr>
          <w:rFonts w:hint="default" w:ascii="宋体" w:hAnsi="宋体" w:eastAsia="宋体" w:cs="宋体"/>
          <w:b/>
          <w:bCs/>
          <w:color w:val="auto"/>
          <w:sz w:val="30"/>
          <w:highlight w:val="none"/>
          <w:lang w:val="en-US" w:eastAsia="zh-CN"/>
        </w:rPr>
      </w:pPr>
      <w:r>
        <w:rPr>
          <w:rFonts w:hint="eastAsia" w:ascii="宋体" w:hAnsi="宋体" w:eastAsia="宋体" w:cs="宋体"/>
          <w:b/>
          <w:bCs/>
          <w:color w:val="auto"/>
          <w:sz w:val="30"/>
          <w:highlight w:val="none"/>
          <w:lang w:eastAsia="zh-CN"/>
        </w:rPr>
        <w:t>采购</w:t>
      </w:r>
      <w:r>
        <w:rPr>
          <w:rFonts w:hint="eastAsia" w:ascii="宋体" w:hAnsi="宋体" w:eastAsia="宋体" w:cs="宋体"/>
          <w:b/>
          <w:bCs/>
          <w:color w:val="auto"/>
          <w:sz w:val="30"/>
          <w:highlight w:val="none"/>
        </w:rPr>
        <w:t>人</w:t>
      </w:r>
      <w:r>
        <w:rPr>
          <w:rFonts w:hint="eastAsia" w:ascii="宋体" w:hAnsi="宋体" w:eastAsia="宋体" w:cs="宋体"/>
          <w:b/>
          <w:bCs/>
          <w:color w:val="auto"/>
          <w:sz w:val="30"/>
          <w:highlight w:val="none"/>
          <w:lang w:eastAsia="zh-CN"/>
        </w:rPr>
        <w:t>（盖章）</w:t>
      </w:r>
      <w:r>
        <w:rPr>
          <w:rFonts w:hint="eastAsia" w:ascii="宋体" w:hAnsi="宋体" w:eastAsia="宋体" w:cs="宋体"/>
          <w:b/>
          <w:bCs/>
          <w:color w:val="auto"/>
          <w:sz w:val="30"/>
          <w:highlight w:val="none"/>
        </w:rPr>
        <w:t>：</w:t>
      </w:r>
      <w:r>
        <w:rPr>
          <w:rFonts w:hint="eastAsia" w:ascii="宋体" w:hAnsi="宋体" w:eastAsia="宋体" w:cs="宋体"/>
          <w:b/>
          <w:bCs/>
          <w:color w:val="auto"/>
          <w:sz w:val="30"/>
          <w:highlight w:val="none"/>
          <w:lang w:val="en-US" w:eastAsia="zh-CN"/>
        </w:rPr>
        <w:t>九章科技（沧州）有限公司</w:t>
      </w: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val="en-US" w:eastAsia="zh-CN"/>
        </w:rPr>
        <w:t>2025</w:t>
      </w:r>
      <w:r>
        <w:rPr>
          <w:rFonts w:hint="eastAsia" w:ascii="宋体" w:hAnsi="宋体" w:eastAsia="宋体" w:cs="宋体"/>
          <w:b/>
          <w:bCs/>
          <w:color w:val="auto"/>
          <w:sz w:val="30"/>
          <w:highlight w:val="none"/>
          <w:lang w:eastAsia="zh-CN"/>
        </w:rPr>
        <w:t>年</w:t>
      </w:r>
      <w:r>
        <w:rPr>
          <w:rFonts w:hint="eastAsia" w:ascii="宋体" w:hAnsi="宋体" w:eastAsia="宋体" w:cs="宋体"/>
          <w:b/>
          <w:bCs/>
          <w:color w:val="auto"/>
          <w:sz w:val="30"/>
          <w:highlight w:val="none"/>
          <w:lang w:val="en-US" w:eastAsia="zh-CN"/>
        </w:rPr>
        <w:t>4</w:t>
      </w:r>
      <w:r>
        <w:rPr>
          <w:rFonts w:hint="eastAsia" w:ascii="宋体" w:hAnsi="宋体" w:eastAsia="宋体" w:cs="宋体"/>
          <w:b/>
          <w:bCs/>
          <w:color w:val="auto"/>
          <w:sz w:val="30"/>
          <w:highlight w:val="none"/>
          <w:lang w:eastAsia="zh-CN"/>
        </w:rPr>
        <w:t>月</w:t>
      </w:r>
    </w:p>
    <w:p>
      <w:pPr>
        <w:pStyle w:val="25"/>
        <w:rPr>
          <w:rFonts w:hint="eastAsia"/>
          <w:highlight w:val="none"/>
        </w:rPr>
        <w:sectPr>
          <w:headerReference r:id="rId3" w:type="default"/>
          <w:pgSz w:w="11906" w:h="16838"/>
          <w:pgMar w:top="1040" w:right="1286" w:bottom="1098" w:left="13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5"/>
        <w:rPr>
          <w:rFonts w:hint="eastAsia"/>
          <w:highlight w:val="none"/>
        </w:rPr>
      </w:pPr>
    </w:p>
    <w:p>
      <w:pPr>
        <w:spacing w:line="440" w:lineRule="exact"/>
        <w:jc w:val="center"/>
        <w:rPr>
          <w:rFonts w:hint="eastAsia" w:ascii="宋体" w:hAnsi="宋体" w:eastAsia="宋体" w:cs="宋体"/>
          <w:color w:val="auto"/>
          <w:sz w:val="44"/>
          <w:highlight w:val="none"/>
        </w:rPr>
      </w:pPr>
      <w:r>
        <w:rPr>
          <w:rFonts w:hint="eastAsia" w:ascii="宋体" w:hAnsi="宋体" w:eastAsia="宋体" w:cs="宋体"/>
          <w:b/>
          <w:bCs/>
          <w:color w:val="auto"/>
          <w:sz w:val="44"/>
          <w:highlight w:val="none"/>
        </w:rPr>
        <w:t>目   录</w:t>
      </w:r>
    </w:p>
    <w:p>
      <w:pPr>
        <w:spacing w:line="440" w:lineRule="exact"/>
        <w:rPr>
          <w:rFonts w:hint="eastAsia" w:ascii="宋体" w:hAnsi="宋体" w:eastAsia="宋体" w:cs="宋体"/>
          <w:color w:val="auto"/>
          <w:sz w:val="28"/>
          <w:highlight w:val="none"/>
        </w:rPr>
      </w:pP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第一章  磋商公告</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第二章  磋商须知及前附表</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三</w:t>
      </w:r>
      <w:r>
        <w:rPr>
          <w:rFonts w:hint="eastAsia" w:ascii="宋体" w:hAnsi="宋体" w:eastAsia="宋体" w:cs="宋体"/>
          <w:b/>
          <w:bCs w:val="0"/>
          <w:color w:val="auto"/>
          <w:sz w:val="28"/>
          <w:szCs w:val="28"/>
          <w:highlight w:val="none"/>
        </w:rPr>
        <w:t>章  采购要求</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章  响应文件格式</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五</w:t>
      </w:r>
      <w:r>
        <w:rPr>
          <w:rFonts w:hint="eastAsia" w:ascii="宋体" w:hAnsi="宋体" w:eastAsia="宋体" w:cs="宋体"/>
          <w:b/>
          <w:bCs w:val="0"/>
          <w:color w:val="auto"/>
          <w:sz w:val="28"/>
          <w:szCs w:val="28"/>
          <w:highlight w:val="none"/>
        </w:rPr>
        <w:t>章  评标标准</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六</w:t>
      </w:r>
      <w:r>
        <w:rPr>
          <w:rFonts w:hint="eastAsia" w:ascii="宋体" w:hAnsi="宋体" w:eastAsia="宋体" w:cs="宋体"/>
          <w:b/>
          <w:bCs w:val="0"/>
          <w:color w:val="auto"/>
          <w:sz w:val="28"/>
          <w:szCs w:val="28"/>
          <w:highlight w:val="none"/>
        </w:rPr>
        <w:t>章  补遗书及答疑纪要（待发）</w:t>
      </w: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7"/>
        <w:rPr>
          <w:rFonts w:hint="eastAsia" w:ascii="宋体" w:hAnsi="宋体" w:eastAsia="宋体" w:cs="宋体"/>
          <w:b/>
          <w:color w:val="auto"/>
          <w:sz w:val="24"/>
          <w:highlight w:val="none"/>
        </w:rPr>
      </w:pPr>
    </w:p>
    <w:p>
      <w:pPr>
        <w:pStyle w:val="37"/>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7"/>
        <w:rPr>
          <w:rFonts w:hint="eastAsia" w:ascii="宋体" w:hAnsi="宋体" w:eastAsia="宋体" w:cs="宋体"/>
          <w:color w:val="auto"/>
          <w:highlight w:val="none"/>
        </w:rPr>
      </w:pPr>
    </w:p>
    <w:p>
      <w:pPr>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br w:type="page"/>
      </w:r>
    </w:p>
    <w:p>
      <w:pPr>
        <w:numPr>
          <w:ilvl w:val="0"/>
          <w:numId w:val="2"/>
        </w:numPr>
        <w:spacing w:line="440" w:lineRule="exact"/>
        <w:ind w:left="2331" w:leftChars="0" w:firstLine="0" w:firstLineChars="0"/>
        <w:jc w:val="left"/>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t xml:space="preserve"> 竞争性磋商公告</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single"/>
          <w:lang w:val="en-US" w:eastAsia="zh-CN"/>
        </w:rPr>
        <w:t>升级改造建设项目</w:t>
      </w:r>
      <w:r>
        <w:rPr>
          <w:rFonts w:hint="eastAsia" w:ascii="宋体" w:hAnsi="宋体" w:eastAsia="宋体" w:cs="宋体"/>
          <w:color w:val="auto"/>
          <w:sz w:val="24"/>
          <w:szCs w:val="24"/>
          <w:highlight w:val="none"/>
        </w:rPr>
        <w:t>的潜在供应商应在</w:t>
      </w:r>
      <w:r>
        <w:rPr>
          <w:rFonts w:hint="eastAsia" w:ascii="宋体" w:hAnsi="宋体" w:eastAsia="宋体" w:cs="宋体"/>
          <w:spacing w:val="-10"/>
          <w:sz w:val="24"/>
          <w:szCs w:val="24"/>
          <w:highlight w:val="none"/>
          <w:u w:val="single"/>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highlight w:val="none"/>
        </w:rPr>
        <w:t>获取采购文件，并于</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6日14</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pStyle w:val="3"/>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2" w:name="_Toc28359089"/>
      <w:bookmarkStart w:id="3" w:name="_Toc28359012"/>
      <w:bookmarkStart w:id="4" w:name="_Toc35393798"/>
      <w:bookmarkStart w:id="5" w:name="_Toc35393629"/>
      <w:r>
        <w:rPr>
          <w:rFonts w:hint="eastAsia" w:ascii="宋体" w:hAnsi="宋体" w:eastAsia="宋体" w:cs="宋体"/>
          <w:b/>
          <w:bCs/>
          <w:color w:val="auto"/>
          <w:sz w:val="24"/>
          <w:szCs w:val="24"/>
          <w:highlight w:val="none"/>
        </w:rPr>
        <w:t>一、项目基本情况</w:t>
      </w:r>
      <w:bookmarkEnd w:id="2"/>
      <w:bookmarkEnd w:id="3"/>
      <w:bookmarkEnd w:id="4"/>
      <w:bookmarkEnd w:id="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CZJZ-202504-01</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升级改造建设项目</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520300元</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详见第三章采购要求</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工期：5个工作日</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质保期：30个月</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本项目（是/否）接受联合体</w:t>
      </w:r>
      <w:r>
        <w:rPr>
          <w:rFonts w:hint="eastAsia" w:ascii="宋体" w:hAnsi="宋体" w:cs="宋体"/>
          <w:color w:val="auto"/>
          <w:sz w:val="24"/>
          <w:szCs w:val="24"/>
          <w:highlight w:val="none"/>
          <w:lang w:eastAsia="zh-CN"/>
        </w:rPr>
        <w:t>：否</w:t>
      </w:r>
    </w:p>
    <w:p>
      <w:pPr>
        <w:pStyle w:val="3"/>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6" w:name="_Toc28359013"/>
      <w:bookmarkStart w:id="7" w:name="_Toc35393799"/>
      <w:bookmarkStart w:id="8" w:name="_Toc35393630"/>
      <w:bookmarkStart w:id="9" w:name="_Toc28359090"/>
      <w:r>
        <w:rPr>
          <w:rFonts w:hint="eastAsia" w:ascii="宋体" w:hAnsi="宋体" w:eastAsia="宋体" w:cs="宋体"/>
          <w:b/>
          <w:bCs/>
          <w:color w:val="auto"/>
          <w:sz w:val="24"/>
          <w:szCs w:val="24"/>
          <w:highlight w:val="none"/>
        </w:rPr>
        <w:t>二、申请人的资格要求</w:t>
      </w:r>
      <w:bookmarkEnd w:id="6"/>
      <w:bookmarkEnd w:id="7"/>
      <w:bookmarkEnd w:id="8"/>
      <w:bookmarkEnd w:id="9"/>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bookmarkStart w:id="10" w:name="_Toc28359091"/>
      <w:bookmarkStart w:id="11" w:name="_Toc28359014"/>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已落实；</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3.1.具备承担和实施本项目的能力</w:t>
      </w:r>
      <w:r>
        <w:rPr>
          <w:rFonts w:hint="eastAsia" w:ascii="宋体" w:hAnsi="宋体" w:eastAsia="宋体" w:cs="宋体"/>
          <w:color w:val="auto"/>
          <w:sz w:val="24"/>
          <w:szCs w:val="24"/>
          <w:highlight w:val="none"/>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无需提供，以开标当天查询为准）。</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本项目不接受任何形式的联合体投标；</w:t>
      </w:r>
    </w:p>
    <w:p>
      <w:pPr>
        <w:widowControl w:val="0"/>
        <w:wordWrap/>
        <w:adjustRightInd/>
        <w:snapToGrid/>
        <w:spacing w:line="360" w:lineRule="exact"/>
        <w:ind w:left="0" w:leftChars="0" w:right="0" w:firstLine="482" w:firstLineChars="200"/>
        <w:jc w:val="center"/>
        <w:textAlignment w:val="auto"/>
        <w:rPr>
          <w:rFonts w:hint="eastAsia" w:ascii="宋体" w:hAnsi="宋体" w:eastAsia="宋体" w:cs="宋体"/>
          <w:b/>
          <w:bCs/>
          <w:color w:val="auto"/>
          <w:sz w:val="24"/>
          <w:szCs w:val="24"/>
          <w:highlight w:val="none"/>
        </w:rPr>
      </w:pPr>
      <w:bookmarkStart w:id="12" w:name="_Toc35393800"/>
      <w:bookmarkStart w:id="13" w:name="_Toc35393631"/>
      <w:r>
        <w:rPr>
          <w:rFonts w:hint="eastAsia" w:ascii="宋体" w:hAnsi="宋体" w:eastAsia="宋体" w:cs="宋体"/>
          <w:b/>
          <w:bCs/>
          <w:color w:val="auto"/>
          <w:sz w:val="24"/>
          <w:szCs w:val="24"/>
          <w:highlight w:val="none"/>
        </w:rPr>
        <w:t>三、获取采购文件</w:t>
      </w:r>
      <w:bookmarkEnd w:id="10"/>
      <w:bookmarkEnd w:id="11"/>
      <w:bookmarkEnd w:id="12"/>
      <w:bookmarkEnd w:id="13"/>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21日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6日</w:t>
      </w:r>
      <w:r>
        <w:rPr>
          <w:rFonts w:hint="eastAsia" w:ascii="宋体" w:hAnsi="宋体" w:eastAsia="宋体" w:cs="宋体"/>
          <w:color w:val="auto"/>
          <w:sz w:val="24"/>
          <w:szCs w:val="24"/>
          <w:highlight w:val="none"/>
        </w:rPr>
        <w:t>，每天9时00分至12时00分，</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分至17时00分（北京时间，法定节假日除外）</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地点：在</w:t>
      </w:r>
      <w:r>
        <w:rPr>
          <w:rFonts w:hint="eastAsia" w:ascii="宋体" w:hAnsi="宋体" w:eastAsia="宋体" w:cs="宋体"/>
          <w:spacing w:val="-10"/>
          <w:sz w:val="24"/>
          <w:szCs w:val="24"/>
          <w:highlight w:val="none"/>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highlight w:val="none"/>
        </w:rPr>
        <w:t>自主下载招标文件及相关资料，并及时查看有无澄清和修改。</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自行下载</w:t>
      </w:r>
    </w:p>
    <w:p>
      <w:pPr>
        <w:pStyle w:val="3"/>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14" w:name="_Toc28359092"/>
      <w:bookmarkStart w:id="15" w:name="_Toc35393632"/>
      <w:bookmarkStart w:id="16" w:name="_Toc28359015"/>
      <w:bookmarkStart w:id="17" w:name="_Toc35393801"/>
      <w:r>
        <w:rPr>
          <w:rFonts w:hint="eastAsia" w:ascii="宋体" w:hAnsi="宋体" w:eastAsia="宋体" w:cs="宋体"/>
          <w:b/>
          <w:bCs/>
          <w:color w:val="auto"/>
          <w:sz w:val="24"/>
          <w:szCs w:val="24"/>
          <w:highlight w:val="none"/>
        </w:rPr>
        <w:t>四、响应文件提交</w:t>
      </w:r>
      <w:bookmarkEnd w:id="14"/>
      <w:bookmarkEnd w:id="15"/>
      <w:bookmarkEnd w:id="16"/>
      <w:bookmarkEnd w:id="17"/>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bookmarkStart w:id="18" w:name="_Toc35393802"/>
      <w:bookmarkStart w:id="19" w:name="_Toc28359093"/>
      <w:bookmarkStart w:id="20" w:name="_Toc28359016"/>
      <w:bookmarkStart w:id="21" w:name="_Toc35393633"/>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1投标文件递交的截止时间(投标截止时间，下同)为</w:t>
      </w:r>
      <w:r>
        <w:rPr>
          <w:rFonts w:hint="eastAsia" w:ascii="宋体" w:hAnsi="宋体" w:eastAsia="宋体" w:cs="宋体"/>
          <w:spacing w:val="-10"/>
          <w:sz w:val="24"/>
          <w:szCs w:val="24"/>
          <w:highlight w:val="none"/>
          <w:u w:val="single"/>
          <w:lang w:val="en-US" w:eastAsia="zh-CN"/>
          <w14:textOutline w14:w="3175" w14:cap="flat" w14:cmpd="sng">
            <w14:solidFill>
              <w14:srgbClr w14:val="000000"/>
            </w14:solidFill>
            <w14:prstDash w14:val="solid"/>
            <w14:miter w14:val="0"/>
          </w14:textOutline>
        </w:rPr>
        <w:t>2025年 5月6日11时00分，</w:t>
      </w:r>
      <w:r>
        <w:rPr>
          <w:rFonts w:hint="eastAsia" w:ascii="宋体" w:hAnsi="宋体" w:eastAsia="宋体" w:cs="宋体"/>
          <w:color w:val="auto"/>
          <w:sz w:val="24"/>
          <w:szCs w:val="24"/>
          <w:highlight w:val="none"/>
        </w:rPr>
        <w:t xml:space="preserve"> 投标人应于</w:t>
      </w:r>
      <w:r>
        <w:rPr>
          <w:rFonts w:hint="eastAsia" w:ascii="宋体" w:hAnsi="宋体" w:eastAsia="宋体" w:cs="宋体"/>
          <w:spacing w:val="-10"/>
          <w:sz w:val="24"/>
          <w:szCs w:val="24"/>
          <w:highlight w:val="none"/>
          <w:lang w:val="en-US" w:eastAsia="zh-CN"/>
          <w14:textOutline w14:w="3175" w14:cap="flat" w14:cmpd="sng">
            <w14:solidFill>
              <w14:srgbClr w14:val="000000"/>
            </w14:solidFill>
            <w14:prstDash w14:val="solid"/>
            <w14:miter w14:val="0"/>
          </w14:textOutline>
        </w:rPr>
        <w:t>当日8时00分至11时00分将投标文件递交</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河北省沧州市高新区中关村科技园丰台园1B#楼（盈碳科技大厦）6楼。</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.2投标人在开标时应携带并现场出示如下证明材料</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证明材料均加盖公章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法定代表人（单位负责人）参加开标会议，应携带本人有效身份证和法人身份证明（或 委托代理人参加开标会议应携带法定代表人（单位负责人）授权书原件和委托代理人本人身份证原件）。还需要携带营业执照副本复印件、</w:t>
      </w:r>
      <w:r>
        <w:rPr>
          <w:rFonts w:hint="eastAsia"/>
          <w:sz w:val="24"/>
          <w:lang w:val="en-US"/>
        </w:rPr>
        <w:t>满足《中华人民共和国政府采购法》第二十二条规定条件的承诺函</w:t>
      </w:r>
      <w:r>
        <w:rPr>
          <w:rFonts w:hint="eastAsia" w:ascii="宋体" w:hAnsi="宋体" w:eastAsia="宋体" w:cs="宋体"/>
          <w:color w:val="auto"/>
          <w:sz w:val="24"/>
          <w:szCs w:val="24"/>
          <w:highlight w:val="none"/>
        </w:rPr>
        <w:t>、在国家企业信用信息公示系统（http://www.gsxt.gov.cn/)经营情况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违反上述规定，该投标文件被视为无效。</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.3逾期送达的或者未送达指定地点的投标文件，招标人不予受理。</w:t>
      </w:r>
    </w:p>
    <w:p>
      <w:pPr>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bookmarkEnd w:id="18"/>
      <w:bookmarkEnd w:id="19"/>
      <w:bookmarkEnd w:id="20"/>
      <w:bookmarkEnd w:id="21"/>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6日14</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地点：河北省沧州市高新区中关村科技园丰台园1B#楼（盈碳科技大厦）6楼</w:t>
      </w:r>
    </w:p>
    <w:p>
      <w:pPr>
        <w:pStyle w:val="3"/>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highlight w:val="none"/>
        </w:rPr>
      </w:pPr>
      <w:bookmarkStart w:id="22" w:name="_Toc28359094"/>
      <w:bookmarkStart w:id="23" w:name="_Toc28359017"/>
      <w:bookmarkStart w:id="24" w:name="_Toc35393634"/>
      <w:bookmarkStart w:id="25" w:name="_Toc35393803"/>
      <w:r>
        <w:rPr>
          <w:rFonts w:hint="eastAsia" w:ascii="宋体" w:hAnsi="宋体" w:eastAsia="宋体" w:cs="宋体"/>
          <w:b/>
          <w:bCs/>
          <w:color w:val="auto"/>
          <w:sz w:val="24"/>
          <w:szCs w:val="24"/>
          <w:highlight w:val="none"/>
        </w:rPr>
        <w:t>六、公告期限</w:t>
      </w:r>
      <w:bookmarkEnd w:id="22"/>
      <w:bookmarkEnd w:id="23"/>
      <w:bookmarkEnd w:id="24"/>
      <w:bookmarkEnd w:id="2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lang w:val="en-US" w:eastAsia="zh-CN"/>
        </w:rPr>
        <w:t>天</w:t>
      </w:r>
      <w:r>
        <w:rPr>
          <w:rFonts w:hint="eastAsia" w:ascii="宋体" w:hAnsi="宋体" w:eastAsia="宋体" w:cs="宋体"/>
          <w:color w:val="auto"/>
          <w:kern w:val="0"/>
          <w:sz w:val="24"/>
          <w:szCs w:val="24"/>
          <w:highlight w:val="none"/>
        </w:rPr>
        <w:t>。</w:t>
      </w:r>
    </w:p>
    <w:p>
      <w:pPr>
        <w:pStyle w:val="3"/>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highlight w:val="none"/>
        </w:rPr>
      </w:pPr>
      <w:bookmarkStart w:id="26" w:name="_Toc35393635"/>
      <w:bookmarkStart w:id="27" w:name="_Toc35393804"/>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bookmarkEnd w:id="26"/>
      <w:bookmarkEnd w:id="27"/>
    </w:p>
    <w:p>
      <w:pPr>
        <w:pStyle w:val="3"/>
        <w:widowControl w:val="0"/>
        <w:wordWrap/>
        <w:adjustRightInd/>
        <w:snapToGrid/>
        <w:spacing w:line="360" w:lineRule="exact"/>
        <w:ind w:left="0" w:leftChars="0" w:right="0" w:firstLine="480" w:firstLineChars="200"/>
        <w:jc w:val="both"/>
        <w:textAlignment w:val="auto"/>
        <w:rPr>
          <w:rFonts w:hint="eastAsia" w:ascii="宋体" w:hAnsi="宋体" w:eastAsia="宋体" w:cs="宋体"/>
          <w:color w:val="auto"/>
          <w:kern w:val="0"/>
          <w:sz w:val="24"/>
          <w:szCs w:val="24"/>
          <w:highlight w:val="none"/>
          <w:lang w:eastAsia="zh-CN"/>
        </w:rPr>
      </w:pPr>
      <w:bookmarkStart w:id="28" w:name="_Toc28359095"/>
      <w:bookmarkStart w:id="29" w:name="_Toc35393636"/>
      <w:bookmarkStart w:id="30" w:name="_Toc35393805"/>
      <w:bookmarkStart w:id="31" w:name="_Toc28359018"/>
      <w:r>
        <w:rPr>
          <w:rFonts w:hint="eastAsia" w:ascii="宋体" w:hAnsi="宋体" w:eastAsia="宋体" w:cs="宋体"/>
          <w:color w:val="auto"/>
          <w:kern w:val="0"/>
          <w:sz w:val="24"/>
          <w:szCs w:val="24"/>
          <w:highlight w:val="none"/>
          <w:lang w:eastAsia="zh-CN"/>
        </w:rPr>
        <w:t>本公告发布媒</w:t>
      </w:r>
      <w:r>
        <w:rPr>
          <w:rFonts w:hint="eastAsia" w:ascii="宋体" w:hAnsi="宋体" w:eastAsia="宋体" w:cs="宋体"/>
          <w:color w:val="auto"/>
          <w:kern w:val="0"/>
          <w:sz w:val="24"/>
          <w:szCs w:val="24"/>
          <w:highlight w:val="none"/>
          <w:lang w:val="en-US" w:eastAsia="zh-CN" w:bidi="ar-SA"/>
        </w:rPr>
        <w:t>体：沧州建投集团网站</w:t>
      </w:r>
    </w:p>
    <w:p>
      <w:pPr>
        <w:pStyle w:val="3"/>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八、凡对本次采购提出询问，请按以下方式联系。</w:t>
      </w:r>
      <w:bookmarkEnd w:id="28"/>
      <w:bookmarkEnd w:id="29"/>
      <w:bookmarkEnd w:id="30"/>
      <w:bookmarkEnd w:id="31"/>
    </w:p>
    <w:p>
      <w:pPr>
        <w:widowControl w:val="0"/>
        <w:wordWrap/>
        <w:adjustRightInd/>
        <w:snapToGrid/>
        <w:spacing w:line="360" w:lineRule="exact"/>
        <w:ind w:left="0" w:leftChars="0" w:right="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采购人：九章科技（沧州）有限公司</w:t>
      </w:r>
    </w:p>
    <w:p>
      <w:pPr>
        <w:widowControl w:val="0"/>
        <w:wordWrap/>
        <w:adjustRightInd/>
        <w:snapToGrid/>
        <w:spacing w:line="360" w:lineRule="exact"/>
        <w:ind w:left="0" w:leftChars="0" w:right="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地址：河北省沧州市高新区中关村科技园丰台园1B#楼（盈碳科技大厦）6楼</w:t>
      </w:r>
    </w:p>
    <w:p>
      <w:pPr>
        <w:pStyle w:val="40"/>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single"/>
          <w:lang w:val="en-US" w:eastAsia="zh-CN"/>
        </w:rPr>
        <w:t>张工</w:t>
      </w:r>
      <w:r>
        <w:rPr>
          <w:rFonts w:hint="eastAsia"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0317-5270772  </w:t>
      </w:r>
    </w:p>
    <w:p>
      <w:pPr>
        <w:rPr>
          <w:rFonts w:hint="eastAsia"/>
          <w:color w:val="auto"/>
          <w:sz w:val="32"/>
          <w:szCs w:val="32"/>
          <w:highlight w:val="none"/>
        </w:rPr>
      </w:pPr>
    </w:p>
    <w:p>
      <w:pPr>
        <w:rPr>
          <w:rFonts w:hint="eastAsia"/>
          <w:color w:val="auto"/>
          <w:sz w:val="32"/>
          <w:szCs w:val="32"/>
          <w:highlight w:val="none"/>
        </w:rPr>
      </w:pPr>
      <w:r>
        <w:rPr>
          <w:rFonts w:hint="eastAsia"/>
          <w:color w:val="auto"/>
          <w:sz w:val="32"/>
          <w:szCs w:val="32"/>
          <w:highlight w:val="none"/>
        </w:rPr>
        <w:br w:type="page"/>
      </w:r>
    </w:p>
    <w:p>
      <w:pPr>
        <w:pStyle w:val="2"/>
        <w:rPr>
          <w:color w:val="auto"/>
          <w:sz w:val="32"/>
          <w:szCs w:val="32"/>
          <w:highlight w:val="none"/>
        </w:rPr>
      </w:pPr>
      <w:r>
        <w:rPr>
          <w:rFonts w:hint="eastAsia"/>
          <w:color w:val="auto"/>
          <w:sz w:val="32"/>
          <w:szCs w:val="32"/>
          <w:highlight w:val="none"/>
        </w:rPr>
        <w:t xml:space="preserve">第二章  </w:t>
      </w:r>
      <w:bookmarkEnd w:id="0"/>
      <w:bookmarkEnd w:id="1"/>
      <w:r>
        <w:rPr>
          <w:rFonts w:hint="eastAsia"/>
          <w:color w:val="auto"/>
          <w:sz w:val="32"/>
          <w:szCs w:val="32"/>
          <w:highlight w:val="none"/>
        </w:rPr>
        <w:t>磋商须知及前附表</w:t>
      </w:r>
    </w:p>
    <w:p>
      <w:pPr>
        <w:jc w:val="center"/>
        <w:outlineLvl w:val="0"/>
        <w:rPr>
          <w:rFonts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磋商须知前附表</w:t>
      </w:r>
    </w:p>
    <w:tbl>
      <w:tblPr>
        <w:tblStyle w:val="20"/>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114"/>
        <w:gridCol w:w="6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91"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项号</w:t>
            </w:r>
          </w:p>
        </w:tc>
        <w:tc>
          <w:tcPr>
            <w:tcW w:w="2114"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内　　容</w:t>
            </w:r>
          </w:p>
        </w:tc>
        <w:tc>
          <w:tcPr>
            <w:tcW w:w="6673"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2"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4"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6673" w:type="dxa"/>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升级改造建设项目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14"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项目编码</w:t>
            </w:r>
          </w:p>
        </w:tc>
        <w:tc>
          <w:tcPr>
            <w:tcW w:w="6673"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CZJZ-202504-01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14"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673" w:type="dxa"/>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14" w:type="dxa"/>
            <w:vAlign w:val="center"/>
          </w:tcPr>
          <w:p>
            <w:pPr>
              <w:spacing w:line="360" w:lineRule="auto"/>
              <w:jc w:val="center"/>
              <w:rPr>
                <w:rFonts w:ascii="宋体" w:hAnsi="宋体" w:eastAsia="宋体" w:cs="宋体"/>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pacing w:val="8"/>
                <w:sz w:val="24"/>
                <w:szCs w:val="24"/>
                <w:highlight w:val="none"/>
              </w:rPr>
              <w:t>质量标准</w:t>
            </w:r>
          </w:p>
        </w:tc>
        <w:tc>
          <w:tcPr>
            <w:tcW w:w="6673" w:type="dxa"/>
            <w:vAlign w:val="center"/>
          </w:tcPr>
          <w:p>
            <w:pPr>
              <w:widowControl w:val="0"/>
              <w:wordWrap/>
              <w:adjustRightInd/>
              <w:snapToGrid/>
              <w:spacing w:line="360" w:lineRule="exact"/>
              <w:ind w:right="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满足采购人使用标准。</w:t>
            </w:r>
          </w:p>
          <w:p>
            <w:pPr>
              <w:spacing w:line="360" w:lineRule="auto"/>
              <w:jc w:val="left"/>
              <w:rPr>
                <w:rFonts w:hint="eastAsia" w:ascii="宋体" w:hAnsi="宋体" w:eastAsia="宋体" w:cs="宋体"/>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exact"/>
          <w:jc w:val="center"/>
        </w:trPr>
        <w:tc>
          <w:tcPr>
            <w:tcW w:w="79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14"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需求</w:t>
            </w:r>
          </w:p>
        </w:tc>
        <w:tc>
          <w:tcPr>
            <w:tcW w:w="6673" w:type="dxa"/>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详见第三章采购要求第七章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exact"/>
          <w:jc w:val="center"/>
        </w:trPr>
        <w:tc>
          <w:tcPr>
            <w:tcW w:w="79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14"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工期</w:t>
            </w:r>
          </w:p>
        </w:tc>
        <w:tc>
          <w:tcPr>
            <w:tcW w:w="6673" w:type="dxa"/>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自合同签订之日起5个工作日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114" w:type="dxa"/>
            <w:vAlign w:val="center"/>
          </w:tcPr>
          <w:p>
            <w:pPr>
              <w:spacing w:line="360" w:lineRule="auto"/>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采购方式</w:t>
            </w:r>
          </w:p>
        </w:tc>
        <w:tc>
          <w:tcPr>
            <w:tcW w:w="6673"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14" w:type="dxa"/>
            <w:vAlign w:val="center"/>
          </w:tcPr>
          <w:p>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标段划分</w:t>
            </w:r>
          </w:p>
        </w:tc>
        <w:tc>
          <w:tcPr>
            <w:tcW w:w="6673"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1个标段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791" w:type="dxa"/>
            <w:vAlign w:val="top"/>
          </w:tcPr>
          <w:p>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rPr>
              <w:t>9</w:t>
            </w:r>
          </w:p>
        </w:tc>
        <w:tc>
          <w:tcPr>
            <w:tcW w:w="2114" w:type="dxa"/>
            <w:vAlign w:val="center"/>
          </w:tcPr>
          <w:p>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rPr>
              <w:t>资格审查</w:t>
            </w:r>
          </w:p>
        </w:tc>
        <w:tc>
          <w:tcPr>
            <w:tcW w:w="6673"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114"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6673" w:type="dxa"/>
            <w:vAlign w:val="center"/>
          </w:tcPr>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已落实；</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3.1.具备承担和实施本项目的能力</w:t>
            </w:r>
            <w:r>
              <w:rPr>
                <w:rFonts w:hint="eastAsia" w:ascii="宋体" w:hAnsi="宋体" w:eastAsia="宋体" w:cs="宋体"/>
                <w:color w:val="auto"/>
                <w:sz w:val="24"/>
                <w:szCs w:val="24"/>
                <w:highlight w:val="none"/>
              </w:rPr>
              <w:t>；</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无需提供，以开标当天查询为准）。</w:t>
            </w:r>
          </w:p>
          <w:p>
            <w:pPr>
              <w:widowControl w:val="0"/>
              <w:wordWrap/>
              <w:adjustRightInd/>
              <w:snapToGrid/>
              <w:spacing w:line="360" w:lineRule="exact"/>
              <w:ind w:right="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本项目不接受任何形式的联合体投标；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11</w:t>
            </w:r>
          </w:p>
        </w:tc>
        <w:tc>
          <w:tcPr>
            <w:tcW w:w="2114" w:type="dxa"/>
            <w:vAlign w:val="center"/>
          </w:tcPr>
          <w:p>
            <w:pPr>
              <w:spacing w:line="400" w:lineRule="exact"/>
              <w:jc w:val="center"/>
              <w:rPr>
                <w:rFonts w:ascii="宋体" w:hAnsi="宋体" w:eastAsia="宋体" w:cs="宋体"/>
                <w:b w:val="0"/>
                <w:bCs w:val="0"/>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b w:val="0"/>
                <w:bCs w:val="0"/>
                <w:color w:val="auto"/>
                <w:spacing w:val="8"/>
                <w:sz w:val="24"/>
                <w:szCs w:val="24"/>
                <w:highlight w:val="none"/>
              </w:rPr>
              <w:t>报价</w:t>
            </w:r>
          </w:p>
        </w:tc>
        <w:tc>
          <w:tcPr>
            <w:tcW w:w="6673" w:type="dxa"/>
            <w:vAlign w:val="center"/>
          </w:tcPr>
          <w:p>
            <w:pPr>
              <w:widowControl w:val="0"/>
              <w:wordWrap/>
              <w:adjustRightInd/>
              <w:snapToGrid/>
              <w:spacing w:line="300" w:lineRule="exact"/>
              <w:jc w:val="left"/>
              <w:textAlignment w:val="auto"/>
              <w:rPr>
                <w:rFonts w:hint="eastAsia" w:ascii="宋体" w:hAnsi="宋体" w:eastAsia="宋体" w:cs="宋体"/>
                <w:b w:val="0"/>
                <w:bCs w:val="0"/>
                <w:color w:val="auto"/>
                <w:spacing w:val="8"/>
                <w:sz w:val="24"/>
                <w:szCs w:val="24"/>
                <w:highlight w:val="none"/>
                <w:lang w:val="zh-CN" w:eastAsia="zh-CN"/>
              </w:rPr>
            </w:pPr>
            <w:r>
              <w:rPr>
                <w:rFonts w:hint="eastAsia" w:ascii="宋体" w:hAnsi="宋体" w:eastAsia="宋体" w:cs="宋体"/>
                <w:b w:val="0"/>
                <w:bCs w:val="0"/>
                <w:color w:val="auto"/>
                <w:spacing w:val="8"/>
                <w:sz w:val="24"/>
                <w:szCs w:val="24"/>
                <w:highlight w:val="none"/>
                <w:lang w:val="zh-CN"/>
              </w:rPr>
              <w:t>本次采购项目最高限价为</w:t>
            </w:r>
            <w:r>
              <w:rPr>
                <w:rFonts w:hint="eastAsia" w:ascii="宋体" w:hAnsi="宋体" w:eastAsia="宋体" w:cs="宋体"/>
                <w:b w:val="0"/>
                <w:bCs w:val="0"/>
                <w:color w:val="auto"/>
                <w:spacing w:val="8"/>
                <w:sz w:val="24"/>
                <w:szCs w:val="24"/>
                <w:highlight w:val="none"/>
                <w:lang w:val="en-US" w:eastAsia="zh-CN"/>
              </w:rPr>
              <w:t>520300</w:t>
            </w:r>
            <w:r>
              <w:rPr>
                <w:rFonts w:hint="eastAsia" w:ascii="宋体" w:hAnsi="宋体" w:eastAsia="宋体" w:cs="宋体"/>
                <w:b w:val="0"/>
                <w:bCs w:val="0"/>
                <w:color w:val="auto"/>
                <w:spacing w:val="8"/>
                <w:sz w:val="24"/>
                <w:szCs w:val="24"/>
                <w:highlight w:val="none"/>
                <w:lang w:val="zh-CN"/>
              </w:rPr>
              <w:t>元</w:t>
            </w:r>
            <w:r>
              <w:rPr>
                <w:rFonts w:hint="eastAsia" w:ascii="宋体" w:hAnsi="宋体" w:eastAsia="宋体" w:cs="宋体"/>
                <w:b w:val="0"/>
                <w:bCs w:val="0"/>
                <w:color w:val="auto"/>
                <w:spacing w:val="8"/>
                <w:sz w:val="24"/>
                <w:szCs w:val="24"/>
                <w:highlight w:val="none"/>
                <w:lang w:val="en-US" w:eastAsia="zh-CN"/>
              </w:rPr>
              <w:t>，</w:t>
            </w:r>
            <w:r>
              <w:rPr>
                <w:rFonts w:hint="eastAsia" w:ascii="宋体" w:hAnsi="宋体" w:eastAsia="宋体" w:cs="宋体"/>
                <w:b w:val="0"/>
                <w:bCs w:val="0"/>
                <w:color w:val="auto"/>
                <w:spacing w:val="8"/>
                <w:sz w:val="24"/>
                <w:szCs w:val="24"/>
                <w:highlight w:val="none"/>
                <w:lang w:val="zh-CN"/>
              </w:rPr>
              <w:t>超出此限价的报价为无效报价。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12</w:t>
            </w:r>
          </w:p>
        </w:tc>
        <w:tc>
          <w:tcPr>
            <w:tcW w:w="2114"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pacing w:val="8"/>
                <w:sz w:val="24"/>
                <w:szCs w:val="24"/>
                <w:highlight w:val="none"/>
              </w:rPr>
              <w:t>投标有效期</w:t>
            </w:r>
          </w:p>
        </w:tc>
        <w:tc>
          <w:tcPr>
            <w:tcW w:w="6673" w:type="dxa"/>
            <w:vAlign w:val="center"/>
          </w:tcPr>
          <w:p>
            <w:pPr>
              <w:spacing w:line="400" w:lineRule="exact"/>
              <w:jc w:val="both"/>
              <w:rPr>
                <w:rFonts w:ascii="宋体" w:hAnsi="宋体" w:eastAsia="宋体" w:cs="宋体"/>
                <w:color w:val="auto"/>
                <w:spacing w:val="8"/>
                <w:sz w:val="24"/>
                <w:szCs w:val="24"/>
                <w:highlight w:val="none"/>
              </w:rPr>
            </w:pPr>
            <w:r>
              <w:rPr>
                <w:rFonts w:hint="eastAsia" w:ascii="宋体" w:hAnsi="宋体" w:eastAsia="宋体" w:cs="宋体"/>
                <w:sz w:val="24"/>
                <w:szCs w:val="24"/>
                <w:highlight w:val="none"/>
                <w:lang w:val="en-US" w:eastAsia="zh-CN"/>
              </w:rPr>
              <w:t>90</w:t>
            </w:r>
            <w:r>
              <w:rPr>
                <w:rFonts w:hint="eastAsia" w:ascii="宋体" w:hAnsi="宋体" w:cs="宋体"/>
                <w:sz w:val="24"/>
                <w:szCs w:val="24"/>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13</w:t>
            </w:r>
          </w:p>
        </w:tc>
        <w:tc>
          <w:tcPr>
            <w:tcW w:w="2114" w:type="dxa"/>
            <w:vAlign w:val="center"/>
          </w:tcPr>
          <w:p>
            <w:pPr>
              <w:spacing w:line="400" w:lineRule="exact"/>
              <w:jc w:val="center"/>
              <w:rPr>
                <w:rFonts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rPr>
              <w:t>磋商保证金</w:t>
            </w:r>
          </w:p>
        </w:tc>
        <w:tc>
          <w:tcPr>
            <w:tcW w:w="6673" w:type="dxa"/>
            <w:vAlign w:val="center"/>
          </w:tcPr>
          <w:p>
            <w:pPr>
              <w:jc w:val="left"/>
              <w:rPr>
                <w:rFonts w:hint="eastAsia" w:ascii="宋体" w:hAnsi="宋体" w:eastAsia="宋体" w:cs="宋体"/>
                <w:b w:val="0"/>
                <w:bCs w:val="0"/>
                <w:color w:val="auto"/>
                <w:spacing w:val="8"/>
                <w:sz w:val="24"/>
                <w:szCs w:val="24"/>
                <w:highlight w:val="none"/>
                <w:lang w:eastAsia="zh-CN"/>
              </w:rPr>
            </w:pPr>
            <w:r>
              <w:rPr>
                <w:rFonts w:hint="eastAsia" w:ascii="宋体" w:hAnsi="宋体" w:eastAsia="宋体" w:cs="宋体"/>
                <w:b w:val="0"/>
                <w:bCs w:val="0"/>
                <w:color w:val="auto"/>
                <w:spacing w:val="8"/>
                <w:sz w:val="24"/>
                <w:szCs w:val="24"/>
                <w:highlight w:val="none"/>
                <w:lang w:eastAsia="zh-CN"/>
              </w:rPr>
              <w:t>无需缴纳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14</w:t>
            </w:r>
          </w:p>
        </w:tc>
        <w:tc>
          <w:tcPr>
            <w:tcW w:w="2114"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pacing w:val="8"/>
                <w:sz w:val="24"/>
                <w:szCs w:val="24"/>
                <w:highlight w:val="none"/>
              </w:rPr>
              <w:t>响应文件份数</w:t>
            </w:r>
          </w:p>
        </w:tc>
        <w:tc>
          <w:tcPr>
            <w:tcW w:w="6673" w:type="dxa"/>
            <w:vAlign w:val="center"/>
          </w:tcPr>
          <w:p>
            <w:pPr>
              <w:spacing w:line="400" w:lineRule="exact"/>
              <w:rPr>
                <w:rFonts w:ascii="宋体" w:hAnsi="宋体" w:eastAsia="宋体" w:cs="宋体"/>
                <w:color w:val="auto"/>
                <w:spacing w:val="8"/>
                <w:sz w:val="24"/>
                <w:szCs w:val="24"/>
                <w:highlight w:val="none"/>
              </w:rPr>
            </w:pPr>
            <w:r>
              <w:rPr>
                <w:rFonts w:hint="eastAsia" w:ascii="宋体" w:hAnsi="宋体" w:eastAsia="宋体" w:cs="宋体"/>
                <w:spacing w:val="8"/>
                <w:sz w:val="24"/>
                <w:szCs w:val="24"/>
                <w:lang w:val="zh-CN"/>
              </w:rPr>
              <w:t>一份正本，</w:t>
            </w:r>
            <w:r>
              <w:rPr>
                <w:rFonts w:hint="eastAsia" w:ascii="宋体" w:hAnsi="宋体" w:eastAsia="宋体" w:cs="宋体"/>
                <w:spacing w:val="8"/>
                <w:sz w:val="24"/>
                <w:szCs w:val="24"/>
              </w:rPr>
              <w:t>二</w:t>
            </w:r>
            <w:r>
              <w:rPr>
                <w:rFonts w:hint="eastAsia" w:ascii="宋体" w:hAnsi="宋体" w:eastAsia="宋体" w:cs="宋体"/>
                <w:spacing w:val="8"/>
                <w:sz w:val="24"/>
                <w:szCs w:val="24"/>
                <w:lang w:val="zh-CN"/>
              </w:rPr>
              <w:t>份副本，</w:t>
            </w:r>
            <w:r>
              <w:rPr>
                <w:rFonts w:hint="eastAsia" w:ascii="宋体" w:hAnsi="宋体" w:eastAsia="宋体" w:cs="宋体"/>
                <w:spacing w:val="8"/>
                <w:sz w:val="24"/>
                <w:szCs w:val="24"/>
                <w:lang w:val="en-US" w:eastAsia="zh-CN"/>
              </w:rPr>
              <w:t>电子版pdf盖章版1份（U盘），</w:t>
            </w:r>
            <w:r>
              <w:rPr>
                <w:rFonts w:hint="eastAsia" w:asciiTheme="majorEastAsia" w:hAnsiTheme="majorEastAsia" w:eastAsiaTheme="majorEastAsia" w:cstheme="majorEastAsia"/>
                <w:spacing w:val="-1"/>
                <w:sz w:val="24"/>
                <w:szCs w:val="24"/>
                <w14:textOutline w14:w="3175" w14:cap="flat" w14:cmpd="sng" w14:algn="ctr">
                  <w14:solidFill>
                    <w14:srgbClr w14:val="000000"/>
                  </w14:solidFill>
                  <w14:prstDash w14:val="solid"/>
                  <w14:miter w14:val="0"/>
                </w14:textOutline>
              </w:rPr>
              <w:t>投标文件所有内容应当全部胶装。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15</w:t>
            </w:r>
          </w:p>
        </w:tc>
        <w:tc>
          <w:tcPr>
            <w:tcW w:w="2114" w:type="dxa"/>
            <w:vAlign w:val="center"/>
          </w:tcPr>
          <w:p>
            <w:pPr>
              <w:spacing w:line="3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响应文件截止时间</w:t>
            </w:r>
          </w:p>
        </w:tc>
        <w:tc>
          <w:tcPr>
            <w:tcW w:w="6673" w:type="dxa"/>
            <w:vAlign w:val="center"/>
          </w:tcPr>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时间</w:t>
            </w:r>
            <w:r>
              <w:rPr>
                <w:rFonts w:hint="eastAsia" w:ascii="宋体" w:hAnsi="宋体" w:eastAsia="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6日11</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16</w:t>
            </w:r>
          </w:p>
        </w:tc>
        <w:tc>
          <w:tcPr>
            <w:tcW w:w="2114" w:type="dxa"/>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开标</w:t>
            </w:r>
          </w:p>
        </w:tc>
        <w:tc>
          <w:tcPr>
            <w:tcW w:w="6673" w:type="dxa"/>
            <w:vAlign w:val="center"/>
          </w:tcPr>
          <w:p>
            <w:pPr>
              <w:spacing w:line="400" w:lineRule="exact"/>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rPr>
              <w:t>线下开标地点：</w:t>
            </w:r>
            <w:r>
              <w:rPr>
                <w:rFonts w:hint="eastAsia" w:ascii="宋体" w:hAnsi="宋体" w:eastAsia="宋体" w:cs="宋体"/>
                <w:color w:val="auto"/>
                <w:spacing w:val="8"/>
                <w:sz w:val="24"/>
                <w:szCs w:val="24"/>
                <w:highlight w:val="none"/>
                <w:lang w:val="en-US" w:eastAsia="zh-CN"/>
              </w:rPr>
              <w:t>九章科技（沧州）有限公司</w:t>
            </w:r>
          </w:p>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时间</w:t>
            </w:r>
            <w:r>
              <w:rPr>
                <w:rFonts w:hint="eastAsia" w:ascii="宋体" w:hAnsi="宋体" w:eastAsia="宋体" w:cs="宋体"/>
                <w:color w:val="auto"/>
                <w:spacing w:val="8"/>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6日14</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17</w:t>
            </w:r>
          </w:p>
        </w:tc>
        <w:tc>
          <w:tcPr>
            <w:tcW w:w="2114" w:type="dxa"/>
            <w:vAlign w:val="center"/>
          </w:tcPr>
          <w:p>
            <w:pPr>
              <w:spacing w:line="480" w:lineRule="exact"/>
              <w:rPr>
                <w:rFonts w:ascii="宋体" w:hAnsi="宋体" w:eastAsia="宋体" w:cs="宋体"/>
                <w:color w:val="auto"/>
                <w:spacing w:val="3"/>
                <w:kern w:val="0"/>
                <w:sz w:val="24"/>
                <w:szCs w:val="24"/>
                <w:highlight w:val="none"/>
              </w:rPr>
            </w:pPr>
            <w:r>
              <w:rPr>
                <w:rFonts w:hint="eastAsia" w:ascii="宋体" w:hAnsi="宋体" w:eastAsia="宋体" w:cs="宋体"/>
                <w:color w:val="auto"/>
                <w:sz w:val="24"/>
                <w:szCs w:val="24"/>
                <w:highlight w:val="none"/>
              </w:rPr>
              <w:t>采购人及代理单位联系人、联系地址</w:t>
            </w:r>
          </w:p>
        </w:tc>
        <w:tc>
          <w:tcPr>
            <w:tcW w:w="6673" w:type="dxa"/>
            <w:vAlign w:val="center"/>
          </w:tcPr>
          <w:p>
            <w:pPr>
              <w:spacing w:line="360" w:lineRule="exact"/>
              <w:jc w:val="left"/>
              <w:rPr>
                <w:rFonts w:hint="default" w:ascii="宋体" w:hAnsi="宋体" w:eastAsia="宋体" w:cs="宋体"/>
                <w:color w:val="auto"/>
                <w:kern w:val="0"/>
                <w:sz w:val="24"/>
                <w:szCs w:val="24"/>
                <w:highlight w:val="none"/>
                <w:shd w:val="clear" w:color="auto" w:fill="FFFFFF"/>
                <w:lang w:val="en-US"/>
              </w:rPr>
            </w:pPr>
            <w:r>
              <w:rPr>
                <w:rFonts w:hint="eastAsia" w:ascii="宋体" w:hAnsi="宋体" w:eastAsia="宋体" w:cs="宋体"/>
                <w:color w:val="auto"/>
                <w:kern w:val="0"/>
                <w:sz w:val="24"/>
                <w:szCs w:val="24"/>
                <w:highlight w:val="none"/>
                <w:shd w:val="clear" w:color="auto" w:fill="FFFFFF"/>
              </w:rPr>
              <w:t>采购人：</w:t>
            </w:r>
            <w:r>
              <w:rPr>
                <w:rFonts w:hint="eastAsia" w:ascii="宋体" w:hAnsi="宋体" w:eastAsia="宋体" w:cs="宋体"/>
                <w:color w:val="auto"/>
                <w:kern w:val="0"/>
                <w:sz w:val="24"/>
                <w:szCs w:val="24"/>
                <w:highlight w:val="none"/>
                <w:shd w:val="clear" w:color="auto" w:fill="FFFFFF"/>
                <w:lang w:val="en-US" w:eastAsia="zh-CN"/>
              </w:rPr>
              <w:t>九章科技（沧州）有限公司</w:t>
            </w:r>
          </w:p>
          <w:p>
            <w:pPr>
              <w:spacing w:line="360" w:lineRule="exact"/>
              <w:jc w:val="left"/>
              <w:rPr>
                <w:rFonts w:hint="default" w:ascii="宋体" w:hAnsi="宋体" w:eastAsia="宋体" w:cs="宋体"/>
                <w:color w:val="auto"/>
                <w:kern w:val="0"/>
                <w:sz w:val="24"/>
                <w:szCs w:val="24"/>
                <w:highlight w:val="none"/>
                <w:u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联 系 人：</w:t>
            </w:r>
            <w:r>
              <w:rPr>
                <w:rFonts w:hint="eastAsia" w:ascii="宋体" w:hAnsi="宋体" w:eastAsia="宋体" w:cs="宋体"/>
                <w:color w:val="auto"/>
                <w:kern w:val="0"/>
                <w:sz w:val="24"/>
                <w:szCs w:val="24"/>
                <w:highlight w:val="none"/>
                <w:shd w:val="clear" w:color="auto" w:fill="FFFFFF"/>
                <w:lang w:val="en-US" w:eastAsia="zh-CN"/>
              </w:rPr>
              <w:t xml:space="preserve"> 张工</w:t>
            </w:r>
          </w:p>
          <w:p>
            <w:pPr>
              <w:spacing w:line="360" w:lineRule="exact"/>
              <w:jc w:val="left"/>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0"/>
                <w:sz w:val="24"/>
                <w:szCs w:val="24"/>
                <w:highlight w:val="none"/>
                <w:u w:val="none"/>
                <w:shd w:val="clear" w:color="auto" w:fill="FFFFFF"/>
              </w:rPr>
              <w:t>联系电话：</w:t>
            </w:r>
            <w:r>
              <w:rPr>
                <w:rFonts w:hint="eastAsia" w:ascii="宋体" w:hAnsi="宋体" w:eastAsia="宋体" w:cs="宋体"/>
                <w:color w:val="auto"/>
                <w:kern w:val="0"/>
                <w:sz w:val="24"/>
                <w:szCs w:val="24"/>
                <w:highlight w:val="none"/>
                <w:u w:val="none"/>
                <w:shd w:val="clear" w:color="auto" w:fill="FFFFFF"/>
                <w:lang w:val="en-US" w:eastAsia="zh-CN"/>
              </w:rPr>
              <w:t xml:space="preserve">0317-5270772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8</w:t>
            </w:r>
          </w:p>
        </w:tc>
        <w:tc>
          <w:tcPr>
            <w:tcW w:w="2114" w:type="dxa"/>
            <w:vAlign w:val="center"/>
          </w:tcPr>
          <w:p>
            <w:pPr>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磋商小组的组建</w:t>
            </w:r>
          </w:p>
        </w:tc>
        <w:tc>
          <w:tcPr>
            <w:tcW w:w="6673" w:type="dxa"/>
            <w:vAlign w:val="center"/>
          </w:tcPr>
          <w:p>
            <w:pP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磋商小组由评审专家</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人组成，评审专家从专家库内相关专业的专家名单中随机抽取，与供应商有利害关系的专家不得担任评委。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19</w:t>
            </w:r>
          </w:p>
        </w:tc>
        <w:tc>
          <w:tcPr>
            <w:tcW w:w="2114" w:type="dxa"/>
            <w:vAlign w:val="center"/>
          </w:tcPr>
          <w:p>
            <w:pPr>
              <w:spacing w:line="2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是否授权磋商小组推荐成交候选人</w:t>
            </w:r>
          </w:p>
        </w:tc>
        <w:tc>
          <w:tcPr>
            <w:tcW w:w="6673" w:type="dxa"/>
            <w:vAlign w:val="center"/>
          </w:tcPr>
          <w:p>
            <w:pPr>
              <w:spacing w:line="2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，推荐的成交候选人数：叁名。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20</w:t>
            </w:r>
          </w:p>
        </w:tc>
        <w:tc>
          <w:tcPr>
            <w:tcW w:w="2114" w:type="dxa"/>
            <w:vAlign w:val="center"/>
          </w:tcPr>
          <w:p>
            <w:pPr>
              <w:spacing w:line="2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是否授权磋商小组</w:t>
            </w:r>
            <w:r>
              <w:rPr>
                <w:rFonts w:hint="eastAsia" w:ascii="宋体" w:hAnsi="宋体" w:eastAsia="宋体" w:cs="宋体"/>
                <w:color w:val="auto"/>
                <w:sz w:val="24"/>
                <w:szCs w:val="24"/>
                <w:highlight w:val="none"/>
                <w:lang w:eastAsia="zh-CN"/>
              </w:rPr>
              <w:t>确定</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供应商</w:t>
            </w:r>
          </w:p>
        </w:tc>
        <w:tc>
          <w:tcPr>
            <w:tcW w:w="6673" w:type="dxa"/>
            <w:vAlign w:val="center"/>
          </w:tcPr>
          <w:p>
            <w:pPr>
              <w:spacing w:line="280" w:lineRule="exact"/>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bookmarkStart w:id="32" w:name="_Toc22442"/>
            <w:r>
              <w:rPr>
                <w:rFonts w:hint="eastAsia" w:ascii="宋体" w:hAnsi="宋体" w:eastAsia="宋体" w:cs="宋体"/>
                <w:color w:val="auto"/>
                <w:spacing w:val="8"/>
                <w:sz w:val="24"/>
                <w:szCs w:val="24"/>
                <w:highlight w:val="none"/>
                <w:lang w:val="en-US" w:eastAsia="zh-CN"/>
              </w:rPr>
              <w:t>21</w:t>
            </w:r>
          </w:p>
        </w:tc>
        <w:tc>
          <w:tcPr>
            <w:tcW w:w="2114" w:type="dxa"/>
            <w:vAlign w:val="center"/>
          </w:tcPr>
          <w:p>
            <w:pPr>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w:t>
            </w:r>
          </w:p>
        </w:tc>
        <w:tc>
          <w:tcPr>
            <w:tcW w:w="6673" w:type="dxa"/>
            <w:vAlign w:val="center"/>
          </w:tcPr>
          <w:p>
            <w:pPr>
              <w:spacing w:line="2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供应商认为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过程、中标结果及其他事项使自己的权益受到损害的，可向采购人依照《政府采购质疑和投诉办法》（财政部第94号令）《河北省政府采购质疑和投诉处理指南》相关要求提出质疑。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22</w:t>
            </w:r>
          </w:p>
        </w:tc>
        <w:tc>
          <w:tcPr>
            <w:tcW w:w="2114" w:type="dxa"/>
            <w:vAlign w:val="center"/>
          </w:tcPr>
          <w:p>
            <w:pPr>
              <w:spacing w:line="28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提供节能证书</w:t>
            </w:r>
          </w:p>
        </w:tc>
        <w:tc>
          <w:tcPr>
            <w:tcW w:w="6673" w:type="dxa"/>
            <w:vAlign w:val="center"/>
          </w:tcPr>
          <w:p>
            <w:pPr>
              <w:spacing w:line="2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财库[2019]9号文《关于调整优化节能产品、环境标志产品政府采购执行机制的通知》规定，财政部、发展改革委、生态环境部等部门根据产品节能环保性能、技术水平和市场成熟程度等因素，确定实施政府采购优先采购和强制采购的产品类别及所依据的相关标准规范，以品目清单的形式发布并适时调整。依据品目清单和认证证书实施政府优先采购和强制采购。采购人拟采购的产品属于品目清单范围中强制采购的，供应商须在投标文件中附所投产品的国家规定的认证机构出具的、处于有效期之内的节能产品认证证书扫描件，否则为无效投标。采购人拟采购的产品属于品目清单范围中优先采购的，供应商须在投标文件中附所投产品的国家规定的认证机构出具的、处于有效期之内的节能产品、环境标志产品认证证书扫描件，否则不享受环境标志产品、节能产品优先采购加分政策。</w:t>
            </w:r>
          </w:p>
          <w:p>
            <w:pPr>
              <w:spacing w:line="2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注：1）环境标志产品政府采购品 目清单详见财库[2019]18号文《关于印发环境标志产品政府采购品目清单的通知》；</w:t>
            </w:r>
          </w:p>
          <w:p>
            <w:pPr>
              <w:spacing w:line="2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2）节能产品政府采购品目清单详见财库[2019]19号文《关于印发节能产品政府采购品目清单的通知》；</w:t>
            </w:r>
          </w:p>
          <w:p>
            <w:pPr>
              <w:spacing w:line="2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3）政府采购节能产品、环境标志产品认证机构详见2019第16号文《市场监管总局关于发布参与实施政府采购节能产品、环境标志产品认证机构名录的公告》。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23</w:t>
            </w:r>
          </w:p>
        </w:tc>
        <w:tc>
          <w:tcPr>
            <w:tcW w:w="2114" w:type="dxa"/>
            <w:vAlign w:val="center"/>
          </w:tcPr>
          <w:p>
            <w:pPr>
              <w:spacing w:line="28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行业</w:t>
            </w:r>
          </w:p>
        </w:tc>
        <w:tc>
          <w:tcPr>
            <w:tcW w:w="6673" w:type="dxa"/>
            <w:vAlign w:val="center"/>
          </w:tcPr>
          <w:p>
            <w:pPr>
              <w:keepNext w:val="0"/>
              <w:keepLines w:val="0"/>
              <w:widowControl/>
              <w:suppressLineNumbers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本项目对应的软件和信息技术服务业</w:t>
            </w:r>
          </w:p>
        </w:tc>
      </w:tr>
    </w:tbl>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spacing w:line="440" w:lineRule="exact"/>
        <w:jc w:val="center"/>
        <w:outlineLvl w:val="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磋商须知</w:t>
      </w:r>
      <w:bookmarkEnd w:id="32"/>
    </w:p>
    <w:p>
      <w:pPr>
        <w:spacing w:line="44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一、总  则</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1．说明</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项目的说明见磋商须知前附表。</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  上述项目通过</w:t>
      </w:r>
      <w:r>
        <w:rPr>
          <w:rFonts w:hint="eastAsia" w:ascii="宋体" w:hAnsi="宋体" w:eastAsia="宋体" w:cs="宋体"/>
          <w:b/>
          <w:bCs/>
          <w:color w:val="auto"/>
          <w:sz w:val="24"/>
          <w:szCs w:val="24"/>
          <w:highlight w:val="none"/>
          <w:u w:val="single"/>
        </w:rPr>
        <w:t>竞争性磋商</w:t>
      </w:r>
      <w:r>
        <w:rPr>
          <w:rFonts w:hint="eastAsia" w:ascii="宋体" w:hAnsi="宋体" w:eastAsia="宋体" w:cs="宋体"/>
          <w:color w:val="auto"/>
          <w:sz w:val="24"/>
          <w:szCs w:val="24"/>
          <w:highlight w:val="none"/>
        </w:rPr>
        <w:t>择优确定壹个成交供应商。</w:t>
      </w:r>
    </w:p>
    <w:p>
      <w:pPr>
        <w:tabs>
          <w:tab w:val="left" w:pos="180"/>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2.资金来源</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采购单位的资金通过前附表第3项获得。</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3.合格条件的要求</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3.1供应商资质等级要求详见本须知前附表第10项。</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 供应商合格条件详见本项目采购文件。</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 本招标项目采用本须知前附表第</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项所述的资格审查方式确定合格供应商。</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4.投标费用</w:t>
      </w:r>
    </w:p>
    <w:p>
      <w:pPr>
        <w:spacing w:line="440" w:lineRule="exact"/>
        <w:ind w:firstLine="489" w:firstLineChars="20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供应商应承担所有与编写和提交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有关的费用。</w:t>
      </w:r>
    </w:p>
    <w:p>
      <w:pPr>
        <w:pStyle w:val="40"/>
        <w:spacing w:line="440" w:lineRule="exact"/>
        <w:jc w:val="center"/>
        <w:rPr>
          <w:rFonts w:hAnsi="宋体" w:eastAsia="宋体" w:cs="宋体"/>
          <w:color w:val="auto"/>
          <w:sz w:val="24"/>
          <w:szCs w:val="24"/>
          <w:highlight w:val="none"/>
        </w:rPr>
      </w:pPr>
      <w:r>
        <w:rPr>
          <w:rFonts w:hint="eastAsia" w:hAnsi="宋体" w:eastAsia="宋体" w:cs="宋体"/>
          <w:b/>
          <w:bCs/>
          <w:color w:val="auto"/>
          <w:sz w:val="24"/>
          <w:szCs w:val="24"/>
          <w:highlight w:val="none"/>
        </w:rPr>
        <w:t>二、磋商文件</w:t>
      </w:r>
    </w:p>
    <w:p>
      <w:pPr>
        <w:pStyle w:val="40"/>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rPr>
        <w:t>5.采购文件的组成</w:t>
      </w:r>
    </w:p>
    <w:p>
      <w:pPr>
        <w:pStyle w:val="40"/>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w:t>
      </w:r>
      <w:r>
        <w:rPr>
          <w:rFonts w:hint="eastAsia" w:hAnsi="宋体" w:eastAsia="宋体" w:cs="宋体"/>
          <w:color w:val="auto"/>
          <w:sz w:val="24"/>
          <w:szCs w:val="24"/>
          <w:highlight w:val="none"/>
          <w:lang w:val="en-US" w:eastAsia="zh-CN"/>
        </w:rPr>
        <w:t>1</w:t>
      </w:r>
      <w:r>
        <w:rPr>
          <w:rFonts w:hint="eastAsia" w:hAnsi="宋体" w:eastAsia="宋体" w:cs="宋体"/>
          <w:color w:val="auto"/>
          <w:sz w:val="24"/>
          <w:szCs w:val="24"/>
          <w:highlight w:val="none"/>
        </w:rPr>
        <w:t xml:space="preserve">  供应商应认真审阅磋商文件中所有的投标须知、规定格式、技术规范，如果供应商的响应文件不能符合采购人的要求，责任由供应商自负。 </w:t>
      </w:r>
    </w:p>
    <w:p>
      <w:pPr>
        <w:pStyle w:val="40"/>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rPr>
        <w:t>6.磋商文件的澄清与修改</w:t>
      </w:r>
    </w:p>
    <w:p>
      <w:pPr>
        <w:pStyle w:val="40"/>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6.1供应商若对采购文件有任何疑问，应当在投标截止时间</w:t>
      </w:r>
      <w:r>
        <w:rPr>
          <w:rFonts w:hint="eastAsia" w:hAnsi="宋体" w:eastAsia="宋体" w:cs="宋体"/>
          <w:color w:val="auto"/>
          <w:sz w:val="24"/>
          <w:szCs w:val="24"/>
          <w:highlight w:val="none"/>
          <w:lang w:val="en-US" w:eastAsia="zh-CN"/>
        </w:rPr>
        <w:t>3</w:t>
      </w:r>
      <w:r>
        <w:rPr>
          <w:rFonts w:hint="eastAsia" w:hAnsi="宋体" w:eastAsia="宋体" w:cs="宋体"/>
          <w:color w:val="auto"/>
          <w:sz w:val="24"/>
          <w:szCs w:val="24"/>
          <w:highlight w:val="none"/>
        </w:rPr>
        <w:t>日前向采购人提出。采购人将在收到有关问题2日内通过书面形式解答（包括对询问的解释，但不说明询问的来源）。</w:t>
      </w:r>
    </w:p>
    <w:p>
      <w:pPr>
        <w:pStyle w:val="40"/>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6.2 在投标截止之日前，采购人可能会以补充通知的方式修改竞争性磋商文件。</w:t>
      </w:r>
    </w:p>
    <w:p>
      <w:pPr>
        <w:pStyle w:val="40"/>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6.3 补充通知将通过平台发布，补充通知作为竞争性磋商文件的组成部分，对供应商起约束作用。</w:t>
      </w:r>
    </w:p>
    <w:p>
      <w:pPr>
        <w:pStyle w:val="40"/>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6.4为使供应商在编制响应文件时把补充通知内容考虑进去，采购人将依法延长递交响应文件的截止日期。</w:t>
      </w:r>
    </w:p>
    <w:p>
      <w:pPr>
        <w:pStyle w:val="40"/>
        <w:spacing w:line="440" w:lineRule="exact"/>
        <w:jc w:val="center"/>
        <w:outlineLvl w:val="0"/>
        <w:rPr>
          <w:rFonts w:hAnsi="宋体" w:eastAsia="宋体" w:cs="宋体"/>
          <w:b/>
          <w:bCs/>
          <w:color w:val="auto"/>
          <w:sz w:val="24"/>
          <w:szCs w:val="24"/>
          <w:highlight w:val="none"/>
        </w:rPr>
      </w:pPr>
      <w:r>
        <w:rPr>
          <w:rFonts w:hint="eastAsia" w:hAnsi="宋体" w:eastAsia="宋体" w:cs="宋体"/>
          <w:b/>
          <w:bCs/>
          <w:color w:val="auto"/>
          <w:sz w:val="24"/>
          <w:szCs w:val="24"/>
          <w:highlight w:val="none"/>
        </w:rPr>
        <w:t>三、投标报价说明</w:t>
      </w:r>
    </w:p>
    <w:p>
      <w:pPr>
        <w:pStyle w:val="40"/>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7</w:t>
      </w:r>
      <w:r>
        <w:rPr>
          <w:rFonts w:hint="eastAsia" w:hAnsi="宋体" w:eastAsia="宋体" w:cs="宋体"/>
          <w:b/>
          <w:bCs/>
          <w:color w:val="auto"/>
          <w:sz w:val="24"/>
          <w:szCs w:val="24"/>
          <w:highlight w:val="none"/>
        </w:rPr>
        <w:t>.投标报价</w:t>
      </w:r>
    </w:p>
    <w:p>
      <w:pPr>
        <w:pStyle w:val="40"/>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rPr>
        <w:t>.1投标总价为</w:t>
      </w:r>
      <w:r>
        <w:rPr>
          <w:rFonts w:hint="eastAsia" w:hAnsi="宋体" w:eastAsia="宋体" w:cs="宋体"/>
          <w:color w:val="auto"/>
          <w:sz w:val="24"/>
          <w:szCs w:val="24"/>
          <w:highlight w:val="none"/>
          <w:lang w:eastAsia="zh-CN"/>
        </w:rPr>
        <w:t>供应商</w:t>
      </w:r>
      <w:r>
        <w:rPr>
          <w:rFonts w:hint="eastAsia" w:hAnsi="宋体" w:eastAsia="宋体" w:cs="宋体"/>
          <w:color w:val="auto"/>
          <w:sz w:val="24"/>
          <w:szCs w:val="24"/>
          <w:highlight w:val="none"/>
        </w:rPr>
        <w:t>在投标文件中提出的各项支付金额的总和。</w:t>
      </w:r>
    </w:p>
    <w:p>
      <w:pPr>
        <w:pStyle w:val="40"/>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rPr>
        <w:t>.2 投标货币</w:t>
      </w:r>
    </w:p>
    <w:p>
      <w:pPr>
        <w:pStyle w:val="40"/>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rPr>
        <w:t>响应文件中的报价全部采用人民币表示。</w:t>
      </w:r>
    </w:p>
    <w:p>
      <w:pPr>
        <w:pStyle w:val="40"/>
        <w:spacing w:line="440" w:lineRule="exact"/>
        <w:jc w:val="center"/>
        <w:outlineLvl w:val="0"/>
        <w:rPr>
          <w:rFonts w:hAnsi="宋体" w:eastAsia="宋体" w:cs="宋体"/>
          <w:color w:val="auto"/>
          <w:sz w:val="24"/>
          <w:szCs w:val="24"/>
          <w:highlight w:val="none"/>
        </w:rPr>
      </w:pPr>
      <w:r>
        <w:rPr>
          <w:rFonts w:hint="eastAsia" w:hAnsi="宋体" w:eastAsia="宋体" w:cs="宋体"/>
          <w:b/>
          <w:bCs/>
          <w:color w:val="auto"/>
          <w:sz w:val="24"/>
          <w:szCs w:val="24"/>
          <w:highlight w:val="none"/>
        </w:rPr>
        <w:t>四、响应文件的编制</w:t>
      </w:r>
    </w:p>
    <w:p>
      <w:pPr>
        <w:pStyle w:val="40"/>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8</w:t>
      </w:r>
      <w:r>
        <w:rPr>
          <w:rFonts w:hint="eastAsia" w:hAnsi="宋体" w:eastAsia="宋体" w:cs="宋体"/>
          <w:b/>
          <w:bCs/>
          <w:color w:val="auto"/>
          <w:sz w:val="24"/>
          <w:szCs w:val="24"/>
          <w:highlight w:val="none"/>
        </w:rPr>
        <w:t>.响应文件的语言</w:t>
      </w:r>
    </w:p>
    <w:p>
      <w:pPr>
        <w:pStyle w:val="40"/>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响应文件及供应商与采购人之间与投标有关的来往通知、函件和文件均应使用中文。</w:t>
      </w:r>
    </w:p>
    <w:p>
      <w:pPr>
        <w:pStyle w:val="40"/>
        <w:numPr>
          <w:ilvl w:val="0"/>
          <w:numId w:val="0"/>
        </w:numPr>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9.</w:t>
      </w:r>
      <w:r>
        <w:rPr>
          <w:rFonts w:hint="eastAsia" w:hAnsi="宋体" w:eastAsia="宋体" w:cs="宋体"/>
          <w:b/>
          <w:bCs/>
          <w:color w:val="auto"/>
          <w:sz w:val="24"/>
          <w:szCs w:val="24"/>
          <w:highlight w:val="none"/>
        </w:rPr>
        <w:t>响应文件的组成</w:t>
      </w:r>
    </w:p>
    <w:p>
      <w:pPr>
        <w:pStyle w:val="40"/>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.1　响应文件由商务部分和技术部分组成。</w:t>
      </w:r>
    </w:p>
    <w:p>
      <w:pPr>
        <w:pStyle w:val="40"/>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　商务部分和技术部分主要包括下列内容：</w:t>
      </w:r>
    </w:p>
    <w:p>
      <w:pPr>
        <w:pStyle w:val="40"/>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.2.1法定代表人身份证明书或法定代表人授权委托书；</w:t>
      </w:r>
    </w:p>
    <w:p>
      <w:pPr>
        <w:pStyle w:val="40"/>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.2.2</w:t>
      </w:r>
      <w:r>
        <w:rPr>
          <w:rFonts w:hint="eastAsia" w:hAnsi="宋体" w:eastAsia="宋体" w:cs="宋体"/>
          <w:color w:val="auto"/>
          <w:sz w:val="24"/>
          <w:szCs w:val="24"/>
          <w:highlight w:val="none"/>
          <w:lang w:eastAsia="zh-CN"/>
        </w:rPr>
        <w:t>磋商函</w:t>
      </w:r>
      <w:r>
        <w:rPr>
          <w:rFonts w:hint="eastAsia" w:hAnsi="宋体" w:eastAsia="宋体" w:cs="宋体"/>
          <w:color w:val="auto"/>
          <w:sz w:val="24"/>
          <w:szCs w:val="24"/>
          <w:highlight w:val="none"/>
        </w:rPr>
        <w:t>；</w:t>
      </w:r>
    </w:p>
    <w:p>
      <w:pPr>
        <w:pStyle w:val="40"/>
        <w:spacing w:line="440" w:lineRule="exact"/>
        <w:ind w:firstLine="480" w:firstLineChars="200"/>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9.2.3报价表；</w:t>
      </w:r>
    </w:p>
    <w:p>
      <w:pPr>
        <w:pStyle w:val="40"/>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4</w:t>
      </w:r>
      <w:r>
        <w:rPr>
          <w:rFonts w:hint="eastAsia" w:hAnsi="宋体" w:eastAsia="宋体" w:cs="宋体"/>
          <w:color w:val="auto"/>
          <w:sz w:val="24"/>
          <w:szCs w:val="24"/>
          <w:highlight w:val="none"/>
        </w:rPr>
        <w:t>供应商资质证明文件；</w:t>
      </w:r>
    </w:p>
    <w:p>
      <w:pPr>
        <w:pStyle w:val="40"/>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rPr>
        <w:t>辅助资料；</w:t>
      </w:r>
    </w:p>
    <w:p>
      <w:pPr>
        <w:pStyle w:val="4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9.2.6</w:t>
      </w:r>
      <w:r>
        <w:rPr>
          <w:rFonts w:hint="eastAsia"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偏离</w:t>
      </w:r>
      <w:r>
        <w:rPr>
          <w:rFonts w:hint="eastAsia" w:ascii="宋体" w:hAnsi="宋体" w:eastAsia="宋体" w:cs="宋体"/>
          <w:color w:val="auto"/>
          <w:sz w:val="24"/>
          <w:szCs w:val="24"/>
          <w:highlight w:val="none"/>
        </w:rPr>
        <w:t>表</w:t>
      </w:r>
    </w:p>
    <w:p>
      <w:pPr>
        <w:pStyle w:val="40"/>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lang w:eastAsia="zh-CN"/>
        </w:rPr>
        <w:t>服务方案</w:t>
      </w:r>
      <w:r>
        <w:rPr>
          <w:rFonts w:hint="eastAsia" w:hAnsi="宋体" w:eastAsia="宋体" w:cs="宋体"/>
          <w:color w:val="auto"/>
          <w:sz w:val="24"/>
          <w:szCs w:val="24"/>
          <w:highlight w:val="none"/>
        </w:rPr>
        <w:t>；</w:t>
      </w:r>
    </w:p>
    <w:p>
      <w:pPr>
        <w:pStyle w:val="40"/>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8</w:t>
      </w:r>
      <w:r>
        <w:rPr>
          <w:rFonts w:hint="eastAsia" w:hAnsi="宋体" w:eastAsia="宋体" w:cs="宋体"/>
          <w:color w:val="auto"/>
          <w:sz w:val="24"/>
          <w:szCs w:val="24"/>
          <w:highlight w:val="none"/>
        </w:rPr>
        <w:t>供应商认为有必要提供的其</w:t>
      </w:r>
      <w:r>
        <w:rPr>
          <w:rFonts w:hint="eastAsia" w:hAnsi="宋体" w:eastAsia="宋体" w:cs="宋体"/>
          <w:color w:val="auto"/>
          <w:sz w:val="24"/>
          <w:szCs w:val="24"/>
          <w:highlight w:val="none"/>
          <w:lang w:val="en-US" w:eastAsia="zh-CN"/>
        </w:rPr>
        <w:t>他</w:t>
      </w:r>
      <w:r>
        <w:rPr>
          <w:rFonts w:hint="eastAsia" w:hAnsi="宋体" w:eastAsia="宋体" w:cs="宋体"/>
          <w:color w:val="auto"/>
          <w:sz w:val="24"/>
          <w:szCs w:val="24"/>
          <w:highlight w:val="none"/>
        </w:rPr>
        <w:t>资料；</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.投标有效期</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投标有效期见本须知前附表第12项所规定的期限，在此期限内，凡符合本采购文件要求的响应文件均保持有效。</w:t>
      </w:r>
    </w:p>
    <w:p>
      <w:pPr>
        <w:spacing w:line="440" w:lineRule="exact"/>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.投标保证金</w:t>
      </w:r>
      <w:r>
        <w:rPr>
          <w:rFonts w:hint="eastAsia" w:ascii="宋体" w:hAnsi="宋体" w:eastAsia="宋体" w:cs="宋体"/>
          <w:b/>
          <w:color w:val="auto"/>
          <w:sz w:val="24"/>
          <w:szCs w:val="24"/>
          <w:highlight w:val="none"/>
          <w:lang w:val="en-US" w:eastAsia="zh-CN"/>
        </w:rPr>
        <w:t xml:space="preserve"> </w:t>
      </w:r>
    </w:p>
    <w:p>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无</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.响应文件的份数和签署</w:t>
      </w:r>
    </w:p>
    <w:p>
      <w:pPr>
        <w:spacing w:line="440" w:lineRule="exact"/>
        <w:ind w:firstLine="480" w:firstLineChars="200"/>
        <w:jc w:val="left"/>
        <w:outlineLvl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.1投标人应按投标人须知规定提交投标文件。</w:t>
      </w:r>
    </w:p>
    <w:p>
      <w:pPr>
        <w:spacing w:line="440" w:lineRule="exact"/>
        <w:ind w:firstLine="480" w:firstLineChars="200"/>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响应文件必须按照响应文件格式要求编制，未按照招标文件格式制作投标文件，此投标文件有被磋商小组拒绝的风险（</w:t>
      </w:r>
      <w:r>
        <w:rPr>
          <w:rFonts w:hint="eastAsia" w:ascii="宋体" w:hAnsi="宋体" w:eastAsia="宋体" w:cs="宋体"/>
          <w:b/>
          <w:bCs w:val="0"/>
          <w:color w:val="auto"/>
          <w:sz w:val="24"/>
          <w:szCs w:val="24"/>
          <w:highlight w:val="none"/>
          <w:lang w:val="en-US" w:eastAsia="zh-CN"/>
        </w:rPr>
        <w:t>注：响应文件须加盖骑缝章且每页均加盖公章，未按要求盖章者为无效响应）。</w:t>
      </w:r>
    </w:p>
    <w:p>
      <w:pPr>
        <w:spacing w:line="440" w:lineRule="exact"/>
        <w:jc w:val="center"/>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、开  标</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.开标</w:t>
      </w:r>
    </w:p>
    <w:p>
      <w:pPr>
        <w:spacing w:line="44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开标时，</w:t>
      </w: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rPr>
        <w:t>响应文件出现下列情形之一的，将由</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评审后作为无效响应文件，不得进入评标：</w:t>
      </w:r>
    </w:p>
    <w:p>
      <w:pPr>
        <w:tabs>
          <w:tab w:val="left" w:pos="1680"/>
        </w:tabs>
        <w:spacing w:line="440" w:lineRule="exact"/>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13.3.1证明材料不符合要求</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13.3.2</w:t>
      </w:r>
      <w:r>
        <w:rPr>
          <w:rFonts w:hint="eastAsia" w:ascii="宋体" w:hAnsi="宋体" w:eastAsia="宋体" w:cs="宋体"/>
          <w:color w:val="auto"/>
          <w:sz w:val="24"/>
          <w:szCs w:val="24"/>
          <w:highlight w:val="none"/>
        </w:rPr>
        <w:t>投标报</w:t>
      </w:r>
      <w:r>
        <w:rPr>
          <w:rFonts w:hint="eastAsia" w:ascii="宋体" w:hAnsi="宋体" w:eastAsia="宋体" w:cs="宋体"/>
          <w:b w:val="0"/>
          <w:bCs w:val="0"/>
          <w:color w:val="auto"/>
          <w:sz w:val="24"/>
          <w:szCs w:val="24"/>
          <w:highlight w:val="none"/>
        </w:rPr>
        <w:t>价不</w:t>
      </w:r>
      <w:r>
        <w:rPr>
          <w:rFonts w:hint="eastAsia" w:ascii="宋体" w:hAnsi="宋体" w:eastAsia="宋体" w:cs="宋体"/>
          <w:color w:val="auto"/>
          <w:sz w:val="24"/>
          <w:szCs w:val="24"/>
          <w:highlight w:val="none"/>
        </w:rPr>
        <w:t>唯一</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13.3.3</w:t>
      </w:r>
      <w:r>
        <w:rPr>
          <w:rFonts w:hint="eastAsia" w:ascii="宋体" w:hAnsi="宋体" w:eastAsia="宋体" w:cs="宋体"/>
          <w:color w:val="auto"/>
          <w:sz w:val="24"/>
          <w:szCs w:val="24"/>
          <w:highlight w:val="none"/>
        </w:rPr>
        <w:t>未按招标文件规定盖章、填写、签字，内容不全或字迹模糊辨认不清；</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13.3.4</w:t>
      </w:r>
      <w:r>
        <w:rPr>
          <w:rFonts w:hint="eastAsia" w:ascii="宋体" w:hAnsi="宋体" w:eastAsia="宋体" w:cs="宋体"/>
          <w:color w:val="auto"/>
          <w:sz w:val="24"/>
          <w:szCs w:val="24"/>
          <w:highlight w:val="none"/>
        </w:rPr>
        <w:t>投标有效期不能满足招标要求的；</w:t>
      </w:r>
    </w:p>
    <w:p>
      <w:pPr>
        <w:tabs>
          <w:tab w:val="left" w:pos="1680"/>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13.3.5</w:t>
      </w:r>
      <w:r>
        <w:rPr>
          <w:rFonts w:hint="eastAsia" w:ascii="宋体" w:hAnsi="宋体" w:eastAsia="宋体" w:cs="宋体"/>
          <w:color w:val="auto"/>
          <w:sz w:val="24"/>
          <w:szCs w:val="24"/>
          <w:highlight w:val="none"/>
        </w:rPr>
        <w:t>未实质上响应招标文件的。</w:t>
      </w:r>
    </w:p>
    <w:p>
      <w:pPr>
        <w:pStyle w:val="37"/>
        <w:ind w:firstLine="480"/>
        <w:rPr>
          <w:color w:val="auto"/>
          <w:szCs w:val="24"/>
          <w:highlight w:val="none"/>
        </w:rPr>
      </w:pP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、评   标</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.评标会议</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开标后，直到宣布授予成交供应商合同为止，凡属于审查、澄清、评价和比较投标的有关资料，和有关授予合同的信息，都不应向供应商或与该过程无关的其他人泄露。</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在响应文件的审查、澄清、评价、比较和推荐成交候选人及签订授予合同的过程中，供应商对采购人和磋商小组成员施加影响的任何行为，都将导致取消投标资格。</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.响应文件的澄清</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为了有助于响应文件的审查、评价和比较，磋商小组可以个别要求供应商澄清其响应文件。有关澄清的说明与答复，供应商应以书面形式进行，但不允许更改投标报价或投标的实质性内容。</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.响应文件的符合性评审</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 在详细评标之前，</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将首先审定每份响应文件是否在实质上响应了磋商文件的要求。</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 如果响应文件实质上不响应磋商文件的要求，采购人将予以拒绝，并不允许修正或撤</w:t>
      </w:r>
      <w:r>
        <w:rPr>
          <w:rFonts w:hint="eastAsia" w:ascii="宋体" w:hAnsi="宋体" w:eastAsia="宋体" w:cs="宋体"/>
          <w:color w:val="auto"/>
          <w:sz w:val="24"/>
          <w:szCs w:val="24"/>
          <w:highlight w:val="none"/>
          <w:lang w:val="en-US" w:eastAsia="zh-CN"/>
        </w:rPr>
        <w:t>销</w:t>
      </w:r>
      <w:r>
        <w:rPr>
          <w:rFonts w:hint="eastAsia" w:ascii="宋体" w:hAnsi="宋体" w:eastAsia="宋体" w:cs="宋体"/>
          <w:color w:val="auto"/>
          <w:sz w:val="24"/>
          <w:szCs w:val="24"/>
          <w:highlight w:val="none"/>
        </w:rPr>
        <w:t>其不符合要求的差异或保留，使之成为具有响应性的投标。</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.错误的修正</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将对确定为实质上响应采购文件要求的响应文件进行校核，看其是否有计算或表达上的错误，修正错误的原则如下：</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.1  如果大写金额与小写金额不一致时，应以大写金额表示的数额为准。</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.2  按上述修正错误的方法，调整</w:t>
      </w:r>
      <w:r>
        <w:rPr>
          <w:rFonts w:hint="eastAsia" w:ascii="宋体" w:hAnsi="宋体" w:eastAsia="宋体" w:cs="宋体"/>
          <w:bCs/>
          <w:color w:val="auto"/>
          <w:sz w:val="24"/>
          <w:szCs w:val="24"/>
          <w:highlight w:val="none"/>
          <w:lang w:eastAsia="zh-CN"/>
        </w:rPr>
        <w:t>磋商函</w:t>
      </w:r>
      <w:r>
        <w:rPr>
          <w:rFonts w:hint="eastAsia" w:ascii="宋体" w:hAnsi="宋体" w:eastAsia="宋体" w:cs="宋体"/>
          <w:bCs/>
          <w:color w:val="auto"/>
          <w:sz w:val="24"/>
          <w:szCs w:val="24"/>
          <w:highlight w:val="none"/>
        </w:rPr>
        <w:t>的投标报价。经供应商确认同意后，调整后的投标报价对供应商起约束作用。如果供应商不接受修正后的报价，则其投标将被拒绝。</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.响应文件的评价与比较</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将仅对实质上响应磋商文件要求的响应文件进行评价与比较。</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.2评标由磋商小组依据磋商原则、磋商办法，对供应商的投标报价、企业综合实力、技术部分等进行综合评审和比较。磋商小组完成评标后，向采购人提出书面评标报告并推荐出合格的成交候选人。</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.3 本项目采用的磋商标准附后。</w:t>
      </w:r>
    </w:p>
    <w:p>
      <w:pPr>
        <w:pStyle w:val="37"/>
        <w:ind w:firstLine="480"/>
        <w:rPr>
          <w:color w:val="auto"/>
          <w:szCs w:val="24"/>
          <w:highlight w:val="none"/>
        </w:rPr>
      </w:pP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、合同的授予</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.定标方法</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采购人依据磋商小组推荐的</w:t>
      </w:r>
      <w:r>
        <w:rPr>
          <w:rFonts w:ascii="宋体" w:hAnsi="宋体" w:eastAsia="宋体" w:cs="宋体"/>
          <w:color w:val="auto"/>
          <w:sz w:val="24"/>
          <w:szCs w:val="24"/>
          <w:highlight w:val="none"/>
        </w:rPr>
        <w:t>成交候选人</w:t>
      </w:r>
      <w:r>
        <w:rPr>
          <w:rFonts w:hint="eastAsia" w:ascii="宋体" w:hAnsi="宋体" w:eastAsia="宋体" w:cs="宋体"/>
          <w:color w:val="auto"/>
          <w:sz w:val="24"/>
          <w:szCs w:val="24"/>
          <w:highlight w:val="none"/>
        </w:rPr>
        <w:t>名单</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按照综合得分排名确定排名第一的成交候选人为该项目的成交供应商。</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spacing w:line="440" w:lineRule="exact"/>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20.合同授予标准</w:t>
      </w:r>
    </w:p>
    <w:p>
      <w:pPr>
        <w:tabs>
          <w:tab w:val="left" w:pos="945"/>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本项目的合同将授予其响应文件在实质上响应磋商文件要求，并根据本项目磋商办法产生的成交供应商。</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.成交通知书</w:t>
      </w:r>
    </w:p>
    <w:p>
      <w:pPr>
        <w:tabs>
          <w:tab w:val="left" w:pos="945"/>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.1采购人向成交供应商发放成交通知书。</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.合同协议书的签订</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.1采购人向成交供应商发出成交通知书之日起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日内，按照采购文件和成交供应商的响应文件与采购人订立书面采购合同，采购人和成交供应商不再订立背离合同实质性内容的其他协议。</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.3成交供应商应当按照合同约定履行义务，完成中标项目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不得将中标项目转让（转包）给他人。</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.合同协议书的签署</w:t>
      </w:r>
    </w:p>
    <w:p>
      <w:pPr>
        <w:spacing w:line="440" w:lineRule="exact"/>
        <w:ind w:firstLine="48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应按成交通知书中规定的日期、时间和地点，由法定代表人或授权代表与采购人代表</w:t>
      </w:r>
      <w:r>
        <w:rPr>
          <w:rFonts w:hint="eastAsia" w:ascii="宋体" w:hAnsi="宋体" w:eastAsia="宋体" w:cs="宋体"/>
          <w:bCs/>
          <w:color w:val="auto"/>
          <w:sz w:val="24"/>
          <w:szCs w:val="24"/>
          <w:highlight w:val="none"/>
          <w:lang w:val="en-US" w:eastAsia="zh-CN"/>
        </w:rPr>
        <w:t>签订</w:t>
      </w:r>
      <w:r>
        <w:rPr>
          <w:rFonts w:hint="eastAsia" w:ascii="宋体" w:hAnsi="宋体" w:eastAsia="宋体" w:cs="宋体"/>
          <w:bCs/>
          <w:color w:val="auto"/>
          <w:sz w:val="24"/>
          <w:szCs w:val="24"/>
          <w:highlight w:val="none"/>
        </w:rPr>
        <w:t>合同。如果</w:t>
      </w: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拒绝</w:t>
      </w:r>
      <w:r>
        <w:rPr>
          <w:rFonts w:hint="eastAsia" w:ascii="宋体" w:hAnsi="宋体" w:eastAsia="宋体" w:cs="宋体"/>
          <w:bCs/>
          <w:color w:val="auto"/>
          <w:sz w:val="24"/>
          <w:szCs w:val="24"/>
          <w:highlight w:val="none"/>
          <w:lang w:eastAsia="zh-CN"/>
        </w:rPr>
        <w:t>签订合同</w:t>
      </w:r>
      <w:r>
        <w:rPr>
          <w:rFonts w:hint="eastAsia" w:ascii="宋体" w:hAnsi="宋体" w:eastAsia="宋体" w:cs="宋体"/>
          <w:bCs/>
          <w:color w:val="auto"/>
          <w:sz w:val="24"/>
          <w:szCs w:val="24"/>
          <w:highlight w:val="none"/>
        </w:rPr>
        <w:t>，采购人将有充分的理由废除</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w:t>
      </w: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、知识产权和专利权</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.知识产权和专利权 </w:t>
      </w:r>
      <w:r>
        <w:rPr>
          <w:rFonts w:hint="eastAsia" w:ascii="宋体" w:hAnsi="宋体" w:eastAsia="宋体" w:cs="宋体"/>
          <w:color w:val="auto"/>
          <w:sz w:val="24"/>
          <w:szCs w:val="24"/>
          <w:highlight w:val="none"/>
        </w:rPr>
        <w:t xml:space="preserve"> </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应保证，采购人在中华人民共和国接受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提供的服务时，采购人免受第三方提出侵犯其专利权、商标权或其他知识产权的起诉。</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.2投标报价应包括所有应支付的对专利权和版权、设计或其他知识产权而需要向其他方支付的版税。</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所有按要求递交响应文件的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视为已知悉并接受上述条款且无异议。</w:t>
      </w: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质疑和投诉</w:t>
      </w:r>
    </w:p>
    <w:p>
      <w:pPr>
        <w:pStyle w:val="12"/>
        <w:keepNext w:val="0"/>
        <w:keepLines w:val="0"/>
        <w:pageBreakBefore w:val="0"/>
        <w:widowControl w:val="0"/>
        <w:kinsoku/>
        <w:wordWrap/>
        <w:overflowPunct/>
        <w:topLinePunct w:val="0"/>
        <w:autoSpaceDE/>
        <w:autoSpaceDN/>
        <w:bidi w:val="0"/>
        <w:adjustRightInd/>
        <w:snapToGrid/>
        <w:ind w:firstLine="494"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.质疑和投诉严格按照《政府采购质疑和投诉办法》《河北省政府采购质疑 和投诉处理指南》执行。</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.1提出质疑和投诉的供应商应当是参与质疑项目采购活动的供应商，接收单位只接受同一供应商在法定质疑期内一次性提出针对同一采购程序环节的质疑和投诉。</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采购人是质疑答复的主体责任人。</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供应商认为下列事项使自己的权益受到损害的，可以在知道或者应知其权益受到损害之日起7个工作日内，以书面形式一次性向采购人提出质疑：</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存在以不合理的条件对供应商实行差别待遇或者歧视待遇的；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文件规定的评审标准、评审方法违反相关规定的；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文件澄清或者修改违反相关规定的；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文件发售期限违反相关规定的；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（五）采购组织程序违反相关规定的；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文件规定的程序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方法和标准进行评审的；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（七）存在回避情形未回避的；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结果公告违反相关规定的；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（九）采购当事人之间存在串通行为的；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（十）供应商提供虚假资料谋取中标（成交）的；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过程和中标（成交）结果使自己权益受到损害的其他事项。</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文件提出质疑的，质疑期的起算日期为供应商获取</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文件之日，获取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文件的日期不确定的，起算日期为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文件公告期限届满之日。</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过程提出质疑的，质疑期的起算日期为各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程序环节结束之日。</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供应商对中标（成交）结果提出质疑的，质疑期的起算日期为中标（成交）结果公告期限届满之日。</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质疑应当以书面形式提出，经法定代表人（负责人）签章并加盖公章。供应商可以委托代理人进行质疑和投诉。代理人提出质疑和投诉，应当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应商提出质疑应当提交质疑函和必要的证明材料。供应商应当确保证据来源合法、合规、真实、有效，并对应当由供应商承担举证责任的质疑和投诉事项提供必要证明材料。质疑函应当包括以下主要内容：供应商的姓名或者名称，地址邮编，联系人及联系电话，质疑项目名称，项目分包编号、包号，招标公告发布时间，具体、明确的质疑事项和与质疑事项相关的请求，事实依据，必要的法律依据（具体条款），质疑人全称，法定代表人（负责人）签章及法人公章，提出质疑的日期。</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采购人将在收到书面质疑后7个工作日内审查质疑事项，做出答复，并以书面形式通知质疑供应商和其他有关供应商，但答复的内容不涉及商业秘密。</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供应商对采购人的质疑答复不满意或者采购人未在规定的时间内做出答复的，可以在答复期满后15个工作日内向</w:t>
      </w:r>
      <w:r>
        <w:rPr>
          <w:rFonts w:hint="eastAsia" w:ascii="宋体" w:hAnsi="宋体" w:eastAsia="宋体" w:cs="宋体"/>
          <w:color w:val="auto"/>
          <w:sz w:val="24"/>
          <w:szCs w:val="24"/>
          <w:highlight w:val="none"/>
          <w:lang w:val="en-US" w:eastAsia="zh-CN"/>
        </w:rPr>
        <w:t>沧州建设投资集团有限公司</w:t>
      </w:r>
      <w:r>
        <w:rPr>
          <w:rFonts w:hint="eastAsia" w:ascii="宋体" w:hAnsi="宋体" w:eastAsia="宋体" w:cs="宋体"/>
          <w:color w:val="auto"/>
          <w:sz w:val="24"/>
          <w:szCs w:val="24"/>
          <w:highlight w:val="none"/>
        </w:rPr>
        <w:t>书面提起投诉。</w:t>
      </w: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、其他注意事项</w:t>
      </w:r>
    </w:p>
    <w:p>
      <w:pPr>
        <w:spacing w:line="440" w:lineRule="exact"/>
        <w:ind w:firstLine="48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rPr>
        <w:t>.需要说明的其他事项</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.1出现下列情形之一的，采购人或者采购代理机构将终止竞争性磋商采购活动，发布项目终止公告并说明原因，重新开展采购活动：</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（3）除相关法规规定的情形外，在采购过程中符合要求的供应商或者报价未超过采购预算的供应商不足3家的。</w:t>
      </w:r>
      <w:bookmarkStart w:id="33" w:name="_Toc155772393"/>
      <w:bookmarkStart w:id="34" w:name="_Toc48107388"/>
    </w:p>
    <w:p>
      <w:pPr>
        <w:spacing w:line="440" w:lineRule="exact"/>
        <w:ind w:firstLine="480"/>
        <w:rPr>
          <w:rFonts w:hint="eastAsia"/>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sectPr>
          <w:headerReference r:id="rId4" w:type="default"/>
          <w:footerReference r:id="rId5" w:type="default"/>
          <w:pgSz w:w="11907" w:h="16839"/>
          <w:pgMar w:top="1092" w:right="1717" w:bottom="1154" w:left="1769" w:header="1077" w:footer="993" w:gutter="0"/>
          <w:pgBorders>
            <w:top w:val="none" w:sz="0" w:space="0"/>
            <w:left w:val="none" w:sz="0" w:space="0"/>
            <w:bottom w:val="none" w:sz="0" w:space="0"/>
            <w:right w:val="none" w:sz="0" w:space="0"/>
          </w:pgBorders>
          <w:pgNumType w:fmt="decimal" w:start="1"/>
          <w:cols w:space="720" w:num="1"/>
        </w:sectPr>
      </w:pPr>
    </w:p>
    <w:p>
      <w:pPr>
        <w:numPr>
          <w:ilvl w:val="0"/>
          <w:numId w:val="0"/>
        </w:numPr>
        <w:spacing w:line="440" w:lineRule="exact"/>
        <w:jc w:val="both"/>
        <w:rPr>
          <w:rFonts w:hint="eastAsia" w:eastAsia="宋体"/>
          <w:b/>
          <w:bCs/>
          <w:color w:val="auto"/>
          <w:sz w:val="32"/>
          <w:szCs w:val="32"/>
          <w:highlight w:val="none"/>
          <w:lang w:val="en-US" w:eastAsia="zh-CN"/>
        </w:rPr>
      </w:pPr>
    </w:p>
    <w:p>
      <w:pPr>
        <w:numPr>
          <w:ilvl w:val="0"/>
          <w:numId w:val="0"/>
        </w:numPr>
        <w:spacing w:line="440" w:lineRule="exact"/>
        <w:jc w:val="center"/>
        <w:rPr>
          <w:rFonts w:hint="eastAsia"/>
          <w:b/>
          <w:bCs/>
          <w:color w:val="auto"/>
          <w:sz w:val="32"/>
          <w:szCs w:val="32"/>
          <w:highlight w:val="none"/>
        </w:rPr>
      </w:pPr>
      <w:r>
        <w:rPr>
          <w:rFonts w:hint="eastAsia" w:eastAsia="宋体"/>
          <w:b/>
          <w:bCs/>
          <w:color w:val="auto"/>
          <w:sz w:val="32"/>
          <w:szCs w:val="32"/>
          <w:highlight w:val="none"/>
          <w:lang w:val="en-US" w:eastAsia="zh-CN"/>
        </w:rPr>
        <w:t>第三章</w:t>
      </w:r>
      <w:r>
        <w:rPr>
          <w:rFonts w:hint="eastAsia"/>
          <w:b/>
          <w:bCs/>
          <w:color w:val="auto"/>
          <w:sz w:val="32"/>
          <w:szCs w:val="32"/>
          <w:highlight w:val="none"/>
        </w:rPr>
        <w:t xml:space="preserve"> 采购要求</w:t>
      </w:r>
    </w:p>
    <w:p>
      <w:pPr>
        <w:pStyle w:val="30"/>
        <w:numPr>
          <w:ilvl w:val="0"/>
          <w:numId w:val="0"/>
        </w:numPr>
        <w:ind w:left="2331" w:leftChars="0"/>
        <w:rPr>
          <w:highlight w:val="none"/>
        </w:rPr>
      </w:pPr>
    </w:p>
    <w:p>
      <w:pPr>
        <w:widowControl w:val="0"/>
        <w:wordWrap/>
        <w:adjustRightInd/>
        <w:snapToGrid/>
        <w:spacing w:line="360" w:lineRule="exact"/>
        <w:ind w:right="0"/>
        <w:textAlignment w:val="auto"/>
        <w:rPr>
          <w:rFonts w:ascii="宋体" w:hAnsi="宋体" w:eastAsia="宋体" w:cs="宋体"/>
          <w:sz w:val="28"/>
          <w:szCs w:val="28"/>
          <w:highlight w:val="none"/>
        </w:rPr>
      </w:pPr>
      <w:r>
        <w:rPr>
          <w:rFonts w:hint="eastAsia" w:ascii="宋体" w:hAnsi="宋体" w:eastAsia="宋体" w:cs="宋体"/>
          <w:b/>
          <w:bCs/>
          <w:kern w:val="0"/>
          <w:sz w:val="28"/>
          <w:szCs w:val="28"/>
          <w:highlight w:val="none"/>
          <w:lang w:val="en-US" w:eastAsia="zh-CN"/>
        </w:rPr>
        <w:t>一、项目名称</w:t>
      </w:r>
      <w:r>
        <w:rPr>
          <w:rFonts w:hint="eastAsia" w:ascii="宋体" w:hAnsi="宋体" w:eastAsia="宋体" w:cs="宋体"/>
          <w:b w:val="0"/>
          <w:bCs w:val="0"/>
          <w:kern w:val="0"/>
          <w:sz w:val="28"/>
          <w:szCs w:val="28"/>
          <w:highlight w:val="none"/>
          <w:lang w:val="en-US" w:eastAsia="zh-CN"/>
        </w:rPr>
        <w:t>：安全防护提升改造建设项目</w:t>
      </w:r>
    </w:p>
    <w:p>
      <w:pPr>
        <w:widowControl/>
        <w:jc w:val="left"/>
        <w:rPr>
          <w:rFonts w:hint="default"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rPr>
        <w:t>二、项目内容：</w:t>
      </w:r>
      <w:r>
        <w:rPr>
          <w:rFonts w:hint="eastAsia" w:ascii="宋体" w:hAnsi="宋体" w:eastAsia="宋体" w:cs="宋体"/>
          <w:b w:val="0"/>
          <w:bCs w:val="0"/>
          <w:kern w:val="0"/>
          <w:sz w:val="28"/>
          <w:szCs w:val="28"/>
          <w:highlight w:val="none"/>
          <w:lang w:val="en-US" w:eastAsia="zh-CN"/>
        </w:rPr>
        <w:t>提升公司网络安全防护，对现有机房、集团内外网络环境进行安全提升改造。</w:t>
      </w:r>
    </w:p>
    <w:p>
      <w:pPr>
        <w:widowControl w:val="0"/>
        <w:wordWrap/>
        <w:adjustRightInd/>
        <w:snapToGrid/>
        <w:spacing w:line="360" w:lineRule="exact"/>
        <w:ind w:right="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kern w:val="0"/>
          <w:sz w:val="28"/>
          <w:szCs w:val="28"/>
          <w:highlight w:val="none"/>
          <w:lang w:val="en-US" w:eastAsia="zh-CN"/>
        </w:rPr>
        <w:t>三、质量标准：</w:t>
      </w:r>
      <w:r>
        <w:rPr>
          <w:rFonts w:hint="eastAsia" w:ascii="宋体" w:hAnsi="宋体" w:eastAsia="宋体" w:cs="宋体"/>
          <w:b w:val="0"/>
          <w:bCs w:val="0"/>
          <w:kern w:val="0"/>
          <w:sz w:val="28"/>
          <w:szCs w:val="28"/>
          <w:highlight w:val="none"/>
          <w:lang w:val="en-US" w:eastAsia="zh-CN"/>
        </w:rPr>
        <w:t>合格，满足采购人使用标准。</w:t>
      </w:r>
    </w:p>
    <w:p>
      <w:pPr>
        <w:widowControl w:val="0"/>
        <w:wordWrap/>
        <w:adjustRightInd/>
        <w:snapToGrid/>
        <w:spacing w:line="360" w:lineRule="exact"/>
        <w:ind w:right="0"/>
        <w:textAlignment w:val="auto"/>
        <w:rPr>
          <w:rFonts w:hint="default"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四、工期：</w:t>
      </w:r>
      <w:r>
        <w:rPr>
          <w:rFonts w:hint="eastAsia" w:ascii="宋体" w:hAnsi="宋体" w:eastAsia="宋体" w:cs="宋体"/>
          <w:b w:val="0"/>
          <w:bCs w:val="0"/>
          <w:kern w:val="0"/>
          <w:sz w:val="28"/>
          <w:szCs w:val="28"/>
          <w:highlight w:val="none"/>
          <w:lang w:val="en-US" w:eastAsia="zh-CN"/>
        </w:rPr>
        <w:t>自合同签订之日起5个工作日</w:t>
      </w:r>
    </w:p>
    <w:p>
      <w:pPr>
        <w:widowControl w:val="0"/>
        <w:wordWrap/>
        <w:adjustRightInd/>
        <w:snapToGrid/>
        <w:spacing w:line="360" w:lineRule="exact"/>
        <w:ind w:right="0"/>
        <w:textAlignment w:val="auto"/>
        <w:rPr>
          <w:rFonts w:hint="default"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五、质保期：</w:t>
      </w:r>
      <w:r>
        <w:rPr>
          <w:rFonts w:hint="eastAsia" w:ascii="宋体" w:hAnsi="宋体" w:eastAsia="宋体" w:cs="宋体"/>
          <w:b w:val="0"/>
          <w:bCs w:val="0"/>
          <w:kern w:val="0"/>
          <w:sz w:val="28"/>
          <w:szCs w:val="28"/>
          <w:highlight w:val="none"/>
          <w:lang w:val="en-US" w:eastAsia="zh-CN"/>
        </w:rPr>
        <w:t>验收后提供30个月</w:t>
      </w:r>
    </w:p>
    <w:p>
      <w:pPr>
        <w:widowControl/>
        <w:jc w:val="left"/>
        <w:rPr>
          <w:rFonts w:hint="eastAsia" w:ascii="仿宋" w:hAnsi="仿宋" w:eastAsia="仿宋" w:cs="仿宋"/>
          <w:b/>
          <w:bCs/>
          <w:kern w:val="0"/>
          <w:sz w:val="28"/>
          <w:szCs w:val="28"/>
          <w:highlight w:val="none"/>
        </w:rPr>
      </w:pPr>
      <w:r>
        <w:rPr>
          <w:rFonts w:hint="eastAsia" w:ascii="宋体" w:hAnsi="宋体" w:eastAsia="宋体" w:cs="宋体"/>
          <w:b/>
          <w:bCs/>
          <w:kern w:val="0"/>
          <w:sz w:val="28"/>
          <w:szCs w:val="28"/>
          <w:highlight w:val="none"/>
          <w:lang w:val="en-US" w:eastAsia="zh-CN"/>
        </w:rPr>
        <w:t>六</w:t>
      </w:r>
      <w:r>
        <w:rPr>
          <w:rFonts w:hint="eastAsia" w:ascii="宋体" w:hAnsi="宋体" w:eastAsia="宋体" w:cs="宋体"/>
          <w:b/>
          <w:bCs/>
          <w:kern w:val="0"/>
          <w:sz w:val="28"/>
          <w:szCs w:val="28"/>
          <w:highlight w:val="none"/>
        </w:rPr>
        <w:t>、</w:t>
      </w:r>
      <w:r>
        <w:rPr>
          <w:rFonts w:hint="eastAsia" w:ascii="宋体" w:hAnsi="宋体" w:eastAsia="宋体" w:cs="宋体"/>
          <w:b/>
          <w:bCs/>
          <w:kern w:val="0"/>
          <w:sz w:val="28"/>
          <w:szCs w:val="28"/>
          <w:highlight w:val="none"/>
          <w:lang w:val="en-US" w:eastAsia="zh-CN"/>
        </w:rPr>
        <w:t>建设</w:t>
      </w:r>
      <w:r>
        <w:rPr>
          <w:rFonts w:hint="eastAsia" w:ascii="宋体" w:hAnsi="宋体" w:eastAsia="宋体" w:cs="宋体"/>
          <w:b/>
          <w:sz w:val="28"/>
          <w:szCs w:val="28"/>
          <w:highlight w:val="none"/>
          <w:lang w:val="en-US" w:eastAsia="zh-CN"/>
        </w:rPr>
        <w:t>清单</w:t>
      </w:r>
      <w:r>
        <w:rPr>
          <w:rFonts w:hint="eastAsia" w:ascii="仿宋" w:hAnsi="仿宋" w:eastAsia="仿宋" w:cs="仿宋"/>
          <w:b/>
          <w:bCs/>
          <w:kern w:val="0"/>
          <w:sz w:val="28"/>
          <w:szCs w:val="28"/>
          <w:highlight w:val="none"/>
        </w:rPr>
        <w:t>：</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716"/>
        <w:gridCol w:w="6623"/>
        <w:gridCol w:w="599"/>
        <w:gridCol w:w="599"/>
        <w:gridCol w:w="1511"/>
        <w:gridCol w:w="2226"/>
        <w:gridCol w:w="913"/>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934" w:type="pct"/>
            <w:gridSpan w:val="3"/>
            <w:tcBorders>
              <w:top w:val="single" w:color="auto" w:sz="8" w:space="0"/>
              <w:left w:val="single" w:color="auto" w:sz="8" w:space="0"/>
              <w:bottom w:val="single" w:color="auto" w:sz="8" w:space="0"/>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一、安全管理设备</w:t>
            </w:r>
          </w:p>
        </w:tc>
        <w:tc>
          <w:tcPr>
            <w:tcW w:w="287" w:type="pct"/>
            <w:tcBorders>
              <w:top w:val="single" w:color="auto" w:sz="8" w:space="0"/>
              <w:left w:val="nil"/>
              <w:bottom w:val="single" w:color="auto" w:sz="8" w:space="0"/>
              <w:right w:val="nil"/>
            </w:tcBorders>
            <w:shd w:val="clear" w:color="auto" w:fill="auto"/>
            <w:noWrap/>
            <w:vAlign w:val="bottom"/>
          </w:tcPr>
          <w:p>
            <w:pPr>
              <w:rPr>
                <w:rFonts w:hint="eastAsia" w:ascii="等线" w:hAnsi="等线" w:eastAsia="等线" w:cs="等线"/>
                <w:i w:val="0"/>
                <w:iCs w:val="0"/>
                <w:color w:val="000000"/>
                <w:sz w:val="22"/>
                <w:szCs w:val="22"/>
                <w:u w:val="none"/>
              </w:rPr>
            </w:pPr>
          </w:p>
        </w:tc>
        <w:tc>
          <w:tcPr>
            <w:tcW w:w="287" w:type="pct"/>
            <w:tcBorders>
              <w:top w:val="single" w:color="auto" w:sz="8" w:space="0"/>
              <w:left w:val="nil"/>
              <w:bottom w:val="single" w:color="auto" w:sz="8" w:space="0"/>
              <w:right w:val="nil"/>
            </w:tcBorders>
            <w:shd w:val="clear" w:color="auto" w:fill="auto"/>
            <w:noWrap/>
            <w:vAlign w:val="bottom"/>
          </w:tcPr>
          <w:p>
            <w:pPr>
              <w:rPr>
                <w:rFonts w:hint="eastAsia" w:ascii="等线" w:hAnsi="等线" w:eastAsia="等线" w:cs="等线"/>
                <w:i w:val="0"/>
                <w:iCs w:val="0"/>
                <w:color w:val="000000"/>
                <w:sz w:val="22"/>
                <w:szCs w:val="22"/>
                <w:u w:val="none"/>
              </w:rPr>
            </w:pPr>
          </w:p>
        </w:tc>
        <w:tc>
          <w:tcPr>
            <w:tcW w:w="402" w:type="pct"/>
            <w:tcBorders>
              <w:top w:val="single" w:color="auto" w:sz="8" w:space="0"/>
              <w:left w:val="nil"/>
              <w:bottom w:val="single" w:color="auto" w:sz="8" w:space="0"/>
              <w:right w:val="nil"/>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592"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495"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8"/>
                <w:szCs w:val="28"/>
                <w:u w:val="none"/>
                <w:lang w:val="en-US"/>
              </w:rPr>
            </w:pPr>
            <w:r>
              <w:rPr>
                <w:rFonts w:hint="eastAsia" w:ascii="等线" w:hAnsi="等线" w:eastAsia="等线" w:cs="等线"/>
                <w:b/>
                <w:bCs/>
                <w:i w:val="0"/>
                <w:iCs w:val="0"/>
                <w:color w:val="000000"/>
                <w:kern w:val="0"/>
                <w:sz w:val="28"/>
                <w:szCs w:val="28"/>
                <w:u w:val="none"/>
                <w:lang w:val="en-US" w:eastAsia="zh-CN" w:bidi="ar"/>
              </w:rPr>
              <w:t>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restart"/>
            <w:tcBorders>
              <w:top w:val="single" w:color="auto"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lang w:val="en-US" w:eastAsia="zh-CN" w:bidi="ar"/>
              </w:rPr>
              <w:t>序号</w:t>
            </w:r>
          </w:p>
        </w:tc>
        <w:tc>
          <w:tcPr>
            <w:tcW w:w="287" w:type="pct"/>
            <w:tcBorders>
              <w:top w:val="single" w:color="auto" w:sz="8" w:space="0"/>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lang w:val="en-US" w:eastAsia="zh-CN" w:bidi="ar"/>
              </w:rPr>
              <w:t>设备</w:t>
            </w:r>
          </w:p>
        </w:tc>
        <w:tc>
          <w:tcPr>
            <w:tcW w:w="2359" w:type="pct"/>
            <w:vMerge w:val="restart"/>
            <w:tcBorders>
              <w:top w:val="single" w:color="auto"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lang w:val="en-US" w:eastAsia="zh-CN" w:bidi="ar"/>
              </w:rPr>
              <w:t>设备参考参数</w:t>
            </w:r>
          </w:p>
        </w:tc>
        <w:tc>
          <w:tcPr>
            <w:tcW w:w="287" w:type="pct"/>
            <w:vMerge w:val="restart"/>
            <w:tcBorders>
              <w:top w:val="single" w:color="auto"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lang w:val="en-US" w:eastAsia="zh-CN" w:bidi="ar"/>
              </w:rPr>
              <w:t>数量</w:t>
            </w:r>
          </w:p>
        </w:tc>
        <w:tc>
          <w:tcPr>
            <w:tcW w:w="287" w:type="pct"/>
            <w:vMerge w:val="restart"/>
            <w:tcBorders>
              <w:top w:val="single" w:color="auto"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lang w:val="en-US" w:eastAsia="zh-CN" w:bidi="ar"/>
              </w:rPr>
              <w:t>单位</w:t>
            </w:r>
          </w:p>
        </w:tc>
        <w:tc>
          <w:tcPr>
            <w:tcW w:w="402" w:type="pct"/>
            <w:vMerge w:val="restart"/>
            <w:tcBorders>
              <w:top w:val="single" w:color="auto"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品牌</w:t>
            </w:r>
          </w:p>
        </w:tc>
        <w:tc>
          <w:tcPr>
            <w:tcW w:w="592" w:type="pct"/>
            <w:vMerge w:val="restart"/>
            <w:tcBorders>
              <w:top w:val="single" w:color="auto"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highlight w:val="none"/>
                <w:u w:val="none"/>
              </w:rPr>
            </w:pPr>
            <w:r>
              <w:rPr>
                <w:rFonts w:hint="eastAsia" w:ascii="等线" w:hAnsi="等线" w:eastAsia="等线" w:cs="等线"/>
                <w:b/>
                <w:bCs/>
                <w:i w:val="0"/>
                <w:iCs w:val="0"/>
                <w:color w:val="000000"/>
                <w:kern w:val="0"/>
                <w:sz w:val="22"/>
                <w:szCs w:val="22"/>
                <w:highlight w:val="none"/>
                <w:u w:val="none"/>
                <w:lang w:val="en-US" w:eastAsia="zh-CN" w:bidi="ar"/>
              </w:rPr>
              <w:t>型号</w:t>
            </w:r>
          </w:p>
        </w:tc>
        <w:tc>
          <w:tcPr>
            <w:tcW w:w="2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单价限价</w:t>
            </w:r>
          </w:p>
        </w:tc>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b/>
                <w:bCs/>
                <w:i w:val="0"/>
                <w:iCs w:val="0"/>
                <w:color w:val="000000"/>
                <w:sz w:val="20"/>
                <w:szCs w:val="20"/>
                <w:u w:val="none"/>
              </w:rPr>
            </w:pPr>
          </w:p>
        </w:tc>
        <w:tc>
          <w:tcPr>
            <w:tcW w:w="287" w:type="pct"/>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lang w:val="en-US" w:eastAsia="zh-CN" w:bidi="ar"/>
              </w:rPr>
              <w:t>名称</w:t>
            </w:r>
          </w:p>
        </w:tc>
        <w:tc>
          <w:tcPr>
            <w:tcW w:w="235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b/>
                <w:bCs/>
                <w:i w:val="0"/>
                <w:iCs w:val="0"/>
                <w:color w:val="000000"/>
                <w:sz w:val="20"/>
                <w:szCs w:val="20"/>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b/>
                <w:bCs/>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b/>
                <w:bCs/>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287" w:type="pct"/>
            <w:vMerge w:val="restart"/>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安全管理区--主机安全</w:t>
            </w:r>
          </w:p>
        </w:tc>
        <w:tc>
          <w:tcPr>
            <w:tcW w:w="2359"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1、支持一个管理控制台同时管理Windows,Linux,国产操作系统。</w:t>
            </w:r>
          </w:p>
        </w:tc>
        <w:tc>
          <w:tcPr>
            <w:tcW w:w="287"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台</w:t>
            </w:r>
          </w:p>
        </w:tc>
        <w:tc>
          <w:tcPr>
            <w:tcW w:w="4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天融信</w:t>
            </w:r>
          </w:p>
        </w:tc>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TopEDR</w:t>
            </w:r>
          </w:p>
        </w:tc>
        <w:tc>
          <w:tcPr>
            <w:tcW w:w="2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4300</w:t>
            </w:r>
          </w:p>
        </w:tc>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2、全网安全态势展示，统计运行概况及客户端概况，包括终端信息、使用授权信息、待处理威胁、当日防护、全网风险趋势、威胁终端排行、病毒风险排行、安全事件、服务器信息等统计情况，点击统计数据可跳转查看详细信息。</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3、支持客户端主程序、病毒库的灰度升级，可以按照部门、标签、终端维度进行灰度升级验证，设置不同终端类型设置和观察时长，确保程序无误后再全局升级。</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4、支持对终端内部文件进行全盘扫描、快速扫描，自定义扫描三种扫描能力，同时支持错峰扫描。</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5、支持对压缩文件内的恶意文件扫描，包括但不限于对Arj、bzip2、Lzh、Tar、Zip、Rar4等压缩文件格式类型查杀防护；支持扫描压缩文件大小设定、不扫描指定扩展名文件，提高扫描效率，降低资源占用。</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6、主动对 U 盘中的文件进行扫描，对U 盘传播类恶意软件常见恶意修改操作进行恢复。</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7、支持病毒自动隔离备份功能，能自动将病毒文件隔离到本地隔离区，同时支持从客户端恢复隔离文件。</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8、配置：终端安全管理系统服务器版30节点3年授权。</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2</w:t>
            </w:r>
          </w:p>
        </w:tc>
        <w:tc>
          <w:tcPr>
            <w:tcW w:w="287" w:type="pct"/>
            <w:vMerge w:val="restart"/>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安全管理区--APT监测</w:t>
            </w:r>
          </w:p>
        </w:tc>
        <w:tc>
          <w:tcPr>
            <w:tcW w:w="2359" w:type="pct"/>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ascii="Calibri" w:hAnsi="Calibri" w:eastAsia="仿宋_GB2312" w:cs="Calibri"/>
                <w:i w:val="0"/>
                <w:iCs w:val="0"/>
                <w:color w:val="000000"/>
                <w:kern w:val="0"/>
                <w:sz w:val="22"/>
                <w:szCs w:val="22"/>
                <w:u w:val="none"/>
                <w:lang w:val="en-US" w:eastAsia="zh-CN" w:bidi="ar"/>
              </w:rPr>
              <w:t>1</w:t>
            </w:r>
            <w:r>
              <w:rPr>
                <w:rStyle w:val="80"/>
                <w:lang w:val="en-US" w:eastAsia="zh-CN" w:bidi="ar"/>
              </w:rPr>
              <w:t>、硬件参数：软硬件一体化设备，标准机架式设备，配置多核</w:t>
            </w:r>
            <w:r>
              <w:rPr>
                <w:rFonts w:ascii="Calibri" w:hAnsi="Calibri" w:eastAsia="仿宋_GB2312" w:cs="Calibri"/>
                <w:i w:val="0"/>
                <w:iCs w:val="0"/>
                <w:color w:val="000000"/>
                <w:kern w:val="0"/>
                <w:sz w:val="22"/>
                <w:szCs w:val="22"/>
                <w:u w:val="none"/>
                <w:lang w:val="en-US" w:eastAsia="zh-CN" w:bidi="ar"/>
              </w:rPr>
              <w:t>CPU</w:t>
            </w:r>
            <w:r>
              <w:rPr>
                <w:rStyle w:val="80"/>
                <w:lang w:val="en-US" w:eastAsia="zh-CN" w:bidi="ar"/>
              </w:rPr>
              <w:t>，内存</w:t>
            </w:r>
            <w:r>
              <w:rPr>
                <w:rFonts w:ascii="Cambria Math" w:hAnsi="Cambria Math" w:eastAsia="Cambria Math" w:cs="Cambria Math"/>
                <w:i w:val="0"/>
                <w:iCs w:val="0"/>
                <w:color w:val="000000"/>
                <w:kern w:val="0"/>
                <w:sz w:val="22"/>
                <w:szCs w:val="22"/>
                <w:u w:val="none"/>
                <w:lang w:val="en-US" w:eastAsia="zh-CN" w:bidi="ar"/>
              </w:rPr>
              <w:t>≥</w:t>
            </w:r>
            <w:r>
              <w:rPr>
                <w:rFonts w:ascii="Calibri" w:hAnsi="Calibri" w:eastAsia="仿宋_GB2312" w:cs="Calibri"/>
                <w:i w:val="0"/>
                <w:iCs w:val="0"/>
                <w:color w:val="000000"/>
                <w:kern w:val="0"/>
                <w:sz w:val="22"/>
                <w:szCs w:val="22"/>
                <w:u w:val="none"/>
                <w:lang w:val="en-US" w:eastAsia="zh-CN" w:bidi="ar"/>
              </w:rPr>
              <w:t>32G</w:t>
            </w:r>
            <w:r>
              <w:rPr>
                <w:rStyle w:val="80"/>
                <w:lang w:val="en-US" w:eastAsia="zh-CN" w:bidi="ar"/>
              </w:rPr>
              <w:t>，标配</w:t>
            </w:r>
            <w:r>
              <w:rPr>
                <w:rFonts w:ascii="Calibri" w:hAnsi="Calibri" w:eastAsia="仿宋_GB2312" w:cs="Calibri"/>
                <w:i w:val="0"/>
                <w:iCs w:val="0"/>
                <w:color w:val="000000"/>
                <w:kern w:val="0"/>
                <w:sz w:val="22"/>
                <w:szCs w:val="22"/>
                <w:u w:val="none"/>
                <w:lang w:val="en-US" w:eastAsia="zh-CN" w:bidi="ar"/>
              </w:rPr>
              <w:t>1T</w:t>
            </w:r>
            <w:r>
              <w:rPr>
                <w:rFonts w:ascii="Cambria Math" w:hAnsi="Cambria Math" w:eastAsia="Cambria Math" w:cs="Cambria Math"/>
                <w:i w:val="0"/>
                <w:iCs w:val="0"/>
                <w:color w:val="000000"/>
                <w:kern w:val="0"/>
                <w:sz w:val="22"/>
                <w:szCs w:val="22"/>
                <w:u w:val="none"/>
                <w:lang w:val="en-US" w:eastAsia="zh-CN" w:bidi="ar"/>
              </w:rPr>
              <w:t xml:space="preserve"> </w:t>
            </w:r>
            <w:r>
              <w:rPr>
                <w:rStyle w:val="80"/>
                <w:lang w:val="en-US" w:eastAsia="zh-CN" w:bidi="ar"/>
              </w:rPr>
              <w:t>硬盘，配置</w:t>
            </w:r>
            <w:r>
              <w:rPr>
                <w:rFonts w:ascii="Calibri" w:hAnsi="Calibri" w:eastAsia="仿宋_GB2312" w:cs="Calibri"/>
                <w:i w:val="0"/>
                <w:iCs w:val="0"/>
                <w:color w:val="000000"/>
                <w:kern w:val="0"/>
                <w:sz w:val="22"/>
                <w:szCs w:val="22"/>
                <w:u w:val="none"/>
                <w:lang w:val="en-US" w:eastAsia="zh-CN" w:bidi="ar"/>
              </w:rPr>
              <w:t>4*GE</w:t>
            </w:r>
            <w:r>
              <w:rPr>
                <w:rStyle w:val="80"/>
                <w:lang w:val="en-US" w:eastAsia="zh-CN" w:bidi="ar"/>
              </w:rPr>
              <w:t>千兆电口，支持额外扩展</w:t>
            </w:r>
            <w:r>
              <w:rPr>
                <w:rFonts w:ascii="Calibri" w:hAnsi="Calibri" w:eastAsia="仿宋_GB2312" w:cs="Calibri"/>
                <w:i w:val="0"/>
                <w:iCs w:val="0"/>
                <w:color w:val="000000"/>
                <w:kern w:val="0"/>
                <w:sz w:val="22"/>
                <w:szCs w:val="22"/>
                <w:u w:val="none"/>
                <w:lang w:val="en-US" w:eastAsia="zh-CN" w:bidi="ar"/>
              </w:rPr>
              <w:t>1</w:t>
            </w:r>
            <w:r>
              <w:rPr>
                <w:rStyle w:val="80"/>
                <w:lang w:val="en-US" w:eastAsia="zh-CN" w:bidi="ar"/>
              </w:rPr>
              <w:t>个</w:t>
            </w:r>
            <w:r>
              <w:rPr>
                <w:rFonts w:ascii="Calibri" w:hAnsi="Calibri" w:eastAsia="仿宋_GB2312" w:cs="Calibri"/>
                <w:i w:val="0"/>
                <w:iCs w:val="0"/>
                <w:color w:val="000000"/>
                <w:kern w:val="0"/>
                <w:sz w:val="22"/>
                <w:szCs w:val="22"/>
                <w:u w:val="none"/>
                <w:lang w:val="en-US" w:eastAsia="zh-CN" w:bidi="ar"/>
              </w:rPr>
              <w:t>4*GE</w:t>
            </w:r>
            <w:r>
              <w:rPr>
                <w:rStyle w:val="80"/>
                <w:lang w:val="en-US" w:eastAsia="zh-CN" w:bidi="ar"/>
              </w:rPr>
              <w:t>千兆电口或者</w:t>
            </w:r>
            <w:r>
              <w:rPr>
                <w:rFonts w:ascii="Calibri" w:hAnsi="Calibri" w:eastAsia="仿宋_GB2312" w:cs="Calibri"/>
                <w:i w:val="0"/>
                <w:iCs w:val="0"/>
                <w:color w:val="000000"/>
                <w:kern w:val="0"/>
                <w:sz w:val="22"/>
                <w:szCs w:val="22"/>
                <w:u w:val="none"/>
                <w:lang w:val="en-US" w:eastAsia="zh-CN" w:bidi="ar"/>
              </w:rPr>
              <w:t>2*10GE</w:t>
            </w:r>
            <w:r>
              <w:rPr>
                <w:rStyle w:val="80"/>
                <w:lang w:val="en-US" w:eastAsia="zh-CN" w:bidi="ar"/>
              </w:rPr>
              <w:t>万兆光口。</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2、吞吐性能参数：支持最大1Gbps流量吞吐。</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3、支持内置沙箱，允许用户导入自定义沙箱镜像。沙箱支持针对注册表、内存、程序、网络活动、文件系统等操作系统环境的变化进行记录与分析。可检测文档类型支持：Acrobat Reader 7, 8, 9, X, 微软Office常用版本（Word, Excel, Powerpoint）、Flash常用版本、LNK、执行文件，微软 HTML Application（HTA）, JS, JSE, VBS, VBE, Java, Java Applet，PowerShell Script 等。</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4、支持沙箱防逃逸技术，进而捕获其行为并进行威胁检测。提供沙箱样本分析报告，报告内容包括：样本基本信息、执行后行为记录、重点标注恶意行为。</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5、流量采集：支持流量采集和协议解析。支持威胁流量的自动存储，及威胁流量PCAP文件格式下载。支持设定抓包的IP地址范围、协议等条件，可设定抓包文件大小。支持通过web界面上传pcap文件进行流量回放。对导入的pcap进行回放并进行威胁检测，回放产生的告警必须和生产网络流量的告警分页面展示。</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6、支持各种文件型病毒实时监测，包括勒索病毒、挖矿、木马、僵尸、后门等，提供多样性的挖矿检测手段，能够检测挖矿木马投递、挖矿木马横向移动行为、挖矿软件、矿池域名解析、矿池连接、矿池协议等。</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7、支持常见漏洞攻击、黑客工具、主流Webshell工具检测，例如：冰蝎、哥斯拉、菜刀、蚁剑、weevely、开山斧等；威胁告警支持按照网络攻击、挖矿、扫描、暴力破解、恶意文件、威胁情报等告警进行分类。</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8、支持网络威胁自定义与威胁情报自定义，网络威胁能自主添加规则名称，规则等级与规则类型，语法兼容业界最常用的snort规则的写法。威胁情报自定义包括IP、URL、DOMAIN、文件HASH四种类型，可以根据具体的使用场景进行选择。威胁情报自定义的规则可以支持多个同类对象的集合，比如对多个IP同时进行监控。</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9、支持Syslog协议，支持配置10个日志服务器，可同时上传多个日志服务器或平台进行存储或关联分析。支持Kafka协议。</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10、三年硬件保修和特征库升级服务。</w:t>
            </w:r>
          </w:p>
        </w:tc>
        <w:tc>
          <w:tcPr>
            <w:tcW w:w="287"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台</w:t>
            </w:r>
          </w:p>
        </w:tc>
        <w:tc>
          <w:tcPr>
            <w:tcW w:w="4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亚信</w:t>
            </w:r>
          </w:p>
        </w:tc>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TDA</w:t>
            </w:r>
          </w:p>
        </w:tc>
        <w:tc>
          <w:tcPr>
            <w:tcW w:w="2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155000</w:t>
            </w:r>
          </w:p>
        </w:tc>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3</w:t>
            </w:r>
          </w:p>
        </w:tc>
        <w:tc>
          <w:tcPr>
            <w:tcW w:w="287" w:type="pct"/>
            <w:vMerge w:val="restart"/>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安全管理区--汇聚交换机</w:t>
            </w:r>
          </w:p>
        </w:tc>
        <w:tc>
          <w:tcPr>
            <w:tcW w:w="2359"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1、交换容量≥336Gbps，包转发率≥39Mpps（官网最小值）。</w:t>
            </w:r>
          </w:p>
        </w:tc>
        <w:tc>
          <w:tcPr>
            <w:tcW w:w="287"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台</w:t>
            </w:r>
          </w:p>
        </w:tc>
        <w:tc>
          <w:tcPr>
            <w:tcW w:w="4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华为</w:t>
            </w:r>
          </w:p>
        </w:tc>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S5735S-L24T4S-QA2</w:t>
            </w:r>
          </w:p>
        </w:tc>
        <w:tc>
          <w:tcPr>
            <w:tcW w:w="2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4000</w:t>
            </w:r>
          </w:p>
        </w:tc>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2、10/100/1000Base-T自适应以太网端口≥16个，千兆SFP口≥4个。</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3、支持基于端口的VLAN，支持基于协议的VLAN。</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4、支持ERPS功能，收敛时间小于50ms。</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5、支持IPv4/IPV6双栈管理和转发，支持静态路由协议和RIP、OSPF等路由协议，支持丰富的管理和安全特性。</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6、支持内置智能图形化管理功能，能够实现通过图形化界面设备配置及命令一键下发和版本智能升级，全局配置及网管口配置，设备升级备份、监控及设备故障替换，组网拓扑可视及管理、设备列表展示等功能。</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87"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4</w:t>
            </w:r>
          </w:p>
        </w:tc>
        <w:tc>
          <w:tcPr>
            <w:tcW w:w="287" w:type="pct"/>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万兆组网交换机</w:t>
            </w:r>
          </w:p>
        </w:tc>
        <w:tc>
          <w:tcPr>
            <w:tcW w:w="235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万兆交换机，12个万兆光口，12个千兆电口；交换容量：2.4Tbps/24Tbps，包转发率：780Mpps/1080Mpps；支持全端口线速转发；</w:t>
            </w:r>
          </w:p>
        </w:tc>
        <w:tc>
          <w:tcPr>
            <w:tcW w:w="287"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2</w:t>
            </w:r>
          </w:p>
        </w:tc>
        <w:tc>
          <w:tcPr>
            <w:tcW w:w="287"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台</w:t>
            </w:r>
          </w:p>
        </w:tc>
        <w:tc>
          <w:tcPr>
            <w:tcW w:w="40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信锐</w:t>
            </w:r>
          </w:p>
        </w:tc>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RS6300-24X-LI-12X</w:t>
            </w:r>
          </w:p>
        </w:tc>
        <w:tc>
          <w:tcPr>
            <w:tcW w:w="24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16500</w:t>
            </w:r>
          </w:p>
        </w:tc>
        <w:tc>
          <w:tcPr>
            <w:tcW w:w="2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5</w:t>
            </w:r>
          </w:p>
        </w:tc>
        <w:tc>
          <w:tcPr>
            <w:tcW w:w="287" w:type="pct"/>
            <w:vMerge w:val="restart"/>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服务器区--下一代防火墙</w:t>
            </w:r>
          </w:p>
        </w:tc>
        <w:tc>
          <w:tcPr>
            <w:tcW w:w="2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1、1U机架式，国产。内存：8GB，硬盘：2TB HDD，电源规格：双电源（额定功率75W），风扇数：2个。网络接口：千兆电口=6个（含2组电口Bypass），管理电口=1个，HA电口=1个，千兆光口=4个，不带光模块，接口扩展槽：2个。</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2、性能：整机吞吐</w:t>
            </w:r>
            <w:r>
              <w:rPr>
                <w:rFonts w:ascii="Cambria Math" w:hAnsi="Cambria Math" w:eastAsia="Cambria Math" w:cs="Cambria Math"/>
                <w:i w:val="0"/>
                <w:iCs w:val="0"/>
                <w:color w:val="000000"/>
                <w:kern w:val="0"/>
                <w:sz w:val="22"/>
                <w:szCs w:val="22"/>
                <w:u w:val="none"/>
                <w:lang w:val="en-US" w:eastAsia="zh-CN" w:bidi="ar"/>
              </w:rPr>
              <w:t>≥</w:t>
            </w:r>
            <w:r>
              <w:rPr>
                <w:rFonts w:hint="eastAsia" w:ascii="仿宋_GB2312" w:hAnsi="等线" w:eastAsia="仿宋_GB2312" w:cs="仿宋_GB2312"/>
                <w:i w:val="0"/>
                <w:iCs w:val="0"/>
                <w:color w:val="000000"/>
                <w:kern w:val="0"/>
                <w:sz w:val="22"/>
                <w:szCs w:val="22"/>
                <w:u w:val="none"/>
                <w:lang w:val="en-US" w:eastAsia="zh-CN" w:bidi="ar"/>
              </w:rPr>
              <w:t>6Gbps；最大并发数</w:t>
            </w:r>
            <w:r>
              <w:rPr>
                <w:rFonts w:ascii="Cambria Math" w:hAnsi="Cambria Math" w:eastAsia="Cambria Math" w:cs="Cambria Math"/>
                <w:i w:val="0"/>
                <w:iCs w:val="0"/>
                <w:color w:val="000000"/>
                <w:kern w:val="0"/>
                <w:sz w:val="22"/>
                <w:szCs w:val="22"/>
                <w:u w:val="none"/>
                <w:lang w:val="en-US" w:eastAsia="zh-CN" w:bidi="ar"/>
              </w:rPr>
              <w:t>≥</w:t>
            </w:r>
            <w:r>
              <w:rPr>
                <w:rFonts w:hint="eastAsia" w:ascii="仿宋_GB2312" w:hAnsi="等线" w:eastAsia="仿宋_GB2312" w:cs="仿宋_GB2312"/>
                <w:i w:val="0"/>
                <w:iCs w:val="0"/>
                <w:color w:val="000000"/>
                <w:kern w:val="0"/>
                <w:sz w:val="22"/>
                <w:szCs w:val="22"/>
                <w:u w:val="none"/>
                <w:lang w:val="en-US" w:eastAsia="zh-CN" w:bidi="ar"/>
              </w:rPr>
              <w:t>300万；最大新建数</w:t>
            </w:r>
            <w:r>
              <w:rPr>
                <w:rFonts w:ascii="Cambria Math" w:hAnsi="Cambria Math" w:eastAsia="Cambria Math" w:cs="Cambria Math"/>
                <w:i w:val="0"/>
                <w:iCs w:val="0"/>
                <w:color w:val="000000"/>
                <w:kern w:val="0"/>
                <w:sz w:val="22"/>
                <w:szCs w:val="22"/>
                <w:u w:val="none"/>
                <w:lang w:val="en-US" w:eastAsia="zh-CN" w:bidi="ar"/>
              </w:rPr>
              <w:t>≥</w:t>
            </w:r>
            <w:r>
              <w:rPr>
                <w:rFonts w:hint="eastAsia" w:ascii="仿宋_GB2312" w:hAnsi="等线" w:eastAsia="仿宋_GB2312" w:cs="仿宋_GB2312"/>
                <w:i w:val="0"/>
                <w:iCs w:val="0"/>
                <w:color w:val="000000"/>
                <w:kern w:val="0"/>
                <w:sz w:val="22"/>
                <w:szCs w:val="22"/>
                <w:u w:val="none"/>
                <w:lang w:val="en-US" w:eastAsia="zh-CN" w:bidi="ar"/>
              </w:rPr>
              <w:t>5万/秒；</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3、支持IPv4/IPv6双栈协议的源地址转换、目的地址转换、双向NAT、NAT64等地址转换；</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4、支持静态路由、动态路由、ISP路由；支持基于入接口、源地址、目的地址、服务的策略路由；</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5、系统定义超过20万条资产指纹库，可识别的主机资产类型包括但不限于通用主机、移动电话、防火墙、网络摄像机、温湿度变送器、呼叫中心、云安全等；可识别的主机资产操作系统包括但不限于Windows，Linux，MAC OS，Android，IOS等；可识别的软件资产类型包括但不限于WEB组件、WEB中间件等WEB应用，Oracle、Hive等数据库，电脑游戏、图像设计等桌面软件以及各类网络协议等；可识别的软件包括但不限于CrushFTP httpd，Android VNC Server等；</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6、支持基于主机、软件维度的资产发现，可识别资产所属厂商、IPv4地址、IPv6地址、MAC地址、资产类型、操作系统、用户、位置、价值、风险、弱密码、软件等信息；可识别软件IP地址、软件类型、软件名称、版本、Banner、协议、端口、用户等信息；</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7、支持独立的Web防护模块，系统定义超过4500条WAF规则防护功能，支持常规HTTP漏洞、SQL注入、组件、CMS、WebShell和XSS等类型的Web防护；支持HTTP协议的URL、Method、Referer、User-Agent、Cookie、URL-args等字段的等于、不等于、包含、不包含、正则等多种匹配方式的访问控制；</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8、安全模式支持智能模式和普通模式。在普通模式下，安全引擎处理网络报文遇到资源不足时会将报文直接丢弃，会影响网络转发；在智能模式下，安全引擎将尽可能的处理网络报文，但不影响网络转发；</w:t>
            </w:r>
            <w:r>
              <w:rPr>
                <w:rFonts w:hint="eastAsia" w:ascii="仿宋_GB2312" w:hAnsi="等线" w:eastAsia="仿宋_GB2312" w:cs="仿宋_GB2312"/>
                <w:i w:val="0"/>
                <w:iCs w:val="0"/>
                <w:color w:val="000000"/>
                <w:kern w:val="0"/>
                <w:sz w:val="22"/>
                <w:szCs w:val="22"/>
                <w:u w:val="none"/>
                <w:lang w:val="en-US" w:eastAsia="zh-CN" w:bidi="ar"/>
              </w:rPr>
              <w:br w:type="textWrapping"/>
            </w:r>
            <w:r>
              <w:rPr>
                <w:rFonts w:hint="eastAsia" w:ascii="仿宋_GB2312" w:hAnsi="等线" w:eastAsia="仿宋_GB2312" w:cs="仿宋_GB2312"/>
                <w:i w:val="0"/>
                <w:iCs w:val="0"/>
                <w:color w:val="000000"/>
                <w:kern w:val="0"/>
                <w:sz w:val="22"/>
                <w:szCs w:val="22"/>
                <w:u w:val="none"/>
                <w:lang w:val="en-US" w:eastAsia="zh-CN" w:bidi="ar"/>
              </w:rPr>
              <w:t>9、提供对控制策略、上网认证策略、带宽策略、策略路由、源NAT等策略的策略分析，可分析并展示问题策略数量以及所占百分比、问题策略详情、策略宽松度分布情况，简化运维工作；</w:t>
            </w:r>
          </w:p>
        </w:tc>
        <w:tc>
          <w:tcPr>
            <w:tcW w:w="287"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台</w:t>
            </w:r>
          </w:p>
        </w:tc>
        <w:tc>
          <w:tcPr>
            <w:tcW w:w="4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安恒</w:t>
            </w:r>
          </w:p>
        </w:tc>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DAS-TGFW</w:t>
            </w:r>
          </w:p>
        </w:tc>
        <w:tc>
          <w:tcPr>
            <w:tcW w:w="2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54000</w:t>
            </w:r>
          </w:p>
        </w:tc>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等线" w:eastAsia="仿宋_GB2312" w:cs="仿宋_GB2312"/>
                <w:i w:val="0"/>
                <w:iCs w:val="0"/>
                <w:color w:val="000000"/>
                <w:sz w:val="22"/>
                <w:szCs w:val="22"/>
                <w:u w:val="none"/>
              </w:rPr>
            </w:pP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6</w:t>
            </w:r>
          </w:p>
        </w:tc>
        <w:tc>
          <w:tcPr>
            <w:tcW w:w="287" w:type="pct"/>
            <w:vMerge w:val="restart"/>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服务器区--WAF应用防火墙</w:t>
            </w:r>
          </w:p>
        </w:tc>
        <w:tc>
          <w:tcPr>
            <w:tcW w:w="2359"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1、国产。吞吐性能：网络层吞吐率≥6Gbps，HTTP应用层吞吐量3192M(名录指标），HTTP最大新建连接数≥5万(名录指标）；HTTP最大并发数≥60W；（推荐：HTTP吞吐≥70Mbps的应用环境使用）；</w:t>
            </w:r>
          </w:p>
        </w:tc>
        <w:tc>
          <w:tcPr>
            <w:tcW w:w="287"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台</w:t>
            </w:r>
          </w:p>
        </w:tc>
        <w:tc>
          <w:tcPr>
            <w:tcW w:w="4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安恒</w:t>
            </w:r>
          </w:p>
        </w:tc>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DAS-WAF</w:t>
            </w:r>
          </w:p>
        </w:tc>
        <w:tc>
          <w:tcPr>
            <w:tcW w:w="2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72000</w:t>
            </w:r>
          </w:p>
        </w:tc>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2、硬件规格：冗余电源，硬盘≥2T，内存≥16G；</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3、接口形态及插槽：千兆电口≥4个（支持2对电口BYPASS），SFP光口≥4个，管理接口：HA接口1个，Console管理口1个；2个扩展槽位。</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4、支持注入式攻击防护，应包括SQL注入、PHP代码注入、VBScript注入、JavaScript注入、OGNL注入、SpringEL注入、Csharp注入、命令注入、文件注入、LDAP注入、SSI注入、Email注入、Java代码注入、SSTI注入等；</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5、支持多条链路数据的防护，防护网段数量不限。</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6、可对保护站点的安全性基于PCI DSS标准进行在线评估，根据评估的结果建议进行相应调整，可在线查看满足情况。并可对评估结果进行导出，导出格式支持DOC、HTML、PDF。</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7、支持自动发现网络环境中存在的Web服务器，包括HTTP业务、HTTPS业务。可记录服务器的IP、端口、协议、IP类型域名等信息。并且针对HTTP业务，可设置侦测后的自动部署，自动部署时，可选择防护模板、处理方式以及可选择开启阻断或观察模式</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8、支持HTTPS站点SSL算法自动探测功能。探测时可以设置指定站点及端口，可以显示探测结果</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9、支持文件非法上传防护，应支持检测PHP文件上传、ASP文件上传、JSP文件上传、Windows文件上传、可执行文件上传、HTML文件上传、通用文件上传等。并可支持通过文件上传导致的XSS绕过。支持文件非法读取限制，应支持检测通用文件读取、proc文件读取、Windows NTFS属性文件读取、URL链接中文件读取等。</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10、支持对HTTP请求行进行限制，应包括参数名长度限制、参数值长度限制、参数个数限制、请求URL字符长度限制、请求URL路径长度限制、防空白符绕过、阻止携带异常HTTP版本号等‘</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11、对身份证、银行卡、手机号、信用卡号等个人敏感信息数据，可通过星号进行隐藏；</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12、支持多种盗链识别算法能有效解决单一来源盗链、分布式盗链、网站数据恶意采集等信息盗取行为，从而确保网站的资源只能通过本站才能访问。支持配置域名白名单；</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13、支持语义分析能力，可对SQL注入、XSS、代码注入等攻击行为进行防护；</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14、配置：WAF特征库升级授权函，3年。</w:t>
            </w:r>
          </w:p>
        </w:tc>
        <w:tc>
          <w:tcPr>
            <w:tcW w:w="287"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7</w:t>
            </w:r>
          </w:p>
        </w:tc>
        <w:tc>
          <w:tcPr>
            <w:tcW w:w="287" w:type="pct"/>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安全管理区--业务VPN</w:t>
            </w:r>
          </w:p>
        </w:tc>
        <w:tc>
          <w:tcPr>
            <w:tcW w:w="2359"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1、具备国产化芯片CPU，接口形态及插槽：≥8个千兆电口，冗余电源，≥2个扩展槽位。</w:t>
            </w:r>
          </w:p>
        </w:tc>
        <w:tc>
          <w:tcPr>
            <w:tcW w:w="287" w:type="pct"/>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28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台</w:t>
            </w:r>
          </w:p>
        </w:tc>
        <w:tc>
          <w:tcPr>
            <w:tcW w:w="4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天融信</w:t>
            </w:r>
          </w:p>
        </w:tc>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TорVPN6000 (HG-B20)</w:t>
            </w:r>
          </w:p>
        </w:tc>
        <w:tc>
          <w:tcPr>
            <w:tcW w:w="2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84500</w:t>
            </w:r>
          </w:p>
        </w:tc>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2、产品必须为专业性VPN硬件设备，而非下一代防火墙\UTM 类设备集成的VPN模块。</w:t>
            </w:r>
          </w:p>
        </w:tc>
        <w:tc>
          <w:tcPr>
            <w:tcW w:w="287"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3、支持静态用户名口令、数字证书、短信、硬件特征码绑定、图形码认证方式。</w:t>
            </w:r>
          </w:p>
        </w:tc>
        <w:tc>
          <w:tcPr>
            <w:tcW w:w="287"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4、支持两种或两种以上组合认证方式。</w:t>
            </w:r>
          </w:p>
        </w:tc>
        <w:tc>
          <w:tcPr>
            <w:tcW w:w="287"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5、支持Windows、iOS、Android、Linux、Mac客户端接入方式；支持国产操作系统客户端接入方式，包括不限于：麒麟、统信、深度、中科方德等。</w:t>
            </w:r>
          </w:p>
        </w:tc>
        <w:tc>
          <w:tcPr>
            <w:tcW w:w="287"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87"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6、配置：最大建议并发用户数：1600，含不少于200个SSL VPN的客户端并发许可。</w:t>
            </w:r>
          </w:p>
        </w:tc>
        <w:tc>
          <w:tcPr>
            <w:tcW w:w="287" w:type="pct"/>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7" w:type="pct"/>
            <w:vMerge w:val="restart"/>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8</w:t>
            </w:r>
          </w:p>
        </w:tc>
        <w:tc>
          <w:tcPr>
            <w:tcW w:w="287"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终端安全--杀毒软件</w:t>
            </w: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1、支持一个管理控制台同时管理Windows,Linux,国产操作系统。</w:t>
            </w:r>
          </w:p>
        </w:tc>
        <w:tc>
          <w:tcPr>
            <w:tcW w:w="287" w:type="pct"/>
            <w:vMerge w:val="restart"/>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287" w:type="pct"/>
            <w:vMerge w:val="restart"/>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ascii="Microsoft YaHei UI" w:hAnsi="Microsoft YaHei UI" w:eastAsia="Microsoft YaHei UI" w:cs="Microsoft YaHei UI"/>
                <w:i w:val="0"/>
                <w:iCs w:val="0"/>
                <w:color w:val="000000"/>
                <w:sz w:val="20"/>
                <w:szCs w:val="20"/>
                <w:u w:val="none"/>
              </w:rPr>
            </w:pPr>
            <w:r>
              <w:rPr>
                <w:rFonts w:hint="eastAsia" w:ascii="Microsoft YaHei UI" w:hAnsi="Microsoft YaHei UI" w:eastAsia="Microsoft YaHei UI" w:cs="Microsoft YaHei UI"/>
                <w:i w:val="0"/>
                <w:iCs w:val="0"/>
                <w:color w:val="000000"/>
                <w:kern w:val="0"/>
                <w:sz w:val="20"/>
                <w:szCs w:val="20"/>
                <w:u w:val="none"/>
                <w:lang w:val="en-US" w:eastAsia="zh-CN" w:bidi="ar"/>
              </w:rPr>
              <w:t>套</w:t>
            </w:r>
          </w:p>
        </w:tc>
        <w:tc>
          <w:tcPr>
            <w:tcW w:w="4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天融信</w:t>
            </w:r>
          </w:p>
        </w:tc>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TopEDR</w:t>
            </w:r>
          </w:p>
        </w:tc>
        <w:tc>
          <w:tcPr>
            <w:tcW w:w="2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22000</w:t>
            </w:r>
          </w:p>
        </w:tc>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2、全网安全态势展示，统计运行概况及客户端概况，包括终端信息、使用授权信息、待处理威胁、当日防护、全网风险趋势、威胁终端排行、病毒风险排行、安全事件、服务器信息等统计情况，点击统计数据可跳转查看详细信息。</w:t>
            </w:r>
          </w:p>
        </w:tc>
        <w:tc>
          <w:tcPr>
            <w:tcW w:w="287" w:type="pct"/>
            <w:vMerge w:val="continue"/>
            <w:tcBorders>
              <w:top w:val="single" w:color="000000" w:sz="8" w:space="0"/>
              <w:left w:val="nil"/>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3、支持客户端主程序、病毒库的灰度升级，可以按照部门、标签、终端维度进行灰度升级验证，设置不同终端类型设置和观察时长，确保程序无误后再全局升级。</w:t>
            </w:r>
          </w:p>
        </w:tc>
        <w:tc>
          <w:tcPr>
            <w:tcW w:w="287" w:type="pct"/>
            <w:vMerge w:val="continue"/>
            <w:tcBorders>
              <w:top w:val="single" w:color="000000" w:sz="8" w:space="0"/>
              <w:left w:val="nil"/>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4、支持对终端内部文件进行全盘扫描、快速扫描，自定义扫描三种扫描能力，同时支持错峰扫描。</w:t>
            </w:r>
          </w:p>
        </w:tc>
        <w:tc>
          <w:tcPr>
            <w:tcW w:w="287" w:type="pct"/>
            <w:vMerge w:val="continue"/>
            <w:tcBorders>
              <w:top w:val="single" w:color="000000" w:sz="8" w:space="0"/>
              <w:left w:val="nil"/>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5、支持对压缩文件内的恶意文件扫描，包括但不限于对Arj、bzip2、Lzh、Tar、Zip、Rar4等压缩文件格式类型查杀防护；支持扫描压缩文件大小设定、不扫描指定扩展名文件，提高扫描效率，降低资源占用。</w:t>
            </w:r>
          </w:p>
        </w:tc>
        <w:tc>
          <w:tcPr>
            <w:tcW w:w="287" w:type="pct"/>
            <w:vMerge w:val="continue"/>
            <w:tcBorders>
              <w:top w:val="single" w:color="000000" w:sz="8" w:space="0"/>
              <w:left w:val="nil"/>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6、主动对 U 盘中的文件进行扫描，对U 盘传播类恶意软件常见恶意修改操作进行恢复。</w:t>
            </w:r>
          </w:p>
        </w:tc>
        <w:tc>
          <w:tcPr>
            <w:tcW w:w="287" w:type="pct"/>
            <w:vMerge w:val="continue"/>
            <w:tcBorders>
              <w:top w:val="single" w:color="000000" w:sz="8" w:space="0"/>
              <w:left w:val="nil"/>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7、支持病毒自动隔离备份功能，能自动将病毒文件隔离到本地隔离区，同时支持从客户端恢复隔离文件。</w:t>
            </w:r>
          </w:p>
        </w:tc>
        <w:tc>
          <w:tcPr>
            <w:tcW w:w="287" w:type="pct"/>
            <w:vMerge w:val="continue"/>
            <w:tcBorders>
              <w:top w:val="single" w:color="000000" w:sz="8" w:space="0"/>
              <w:left w:val="nil"/>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nil"/>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8、配置：终端安全管理系统(杀毒)桌面版350节点3年授权函。</w:t>
            </w:r>
          </w:p>
        </w:tc>
        <w:tc>
          <w:tcPr>
            <w:tcW w:w="287" w:type="pct"/>
            <w:vMerge w:val="continue"/>
            <w:tcBorders>
              <w:top w:val="single" w:color="000000" w:sz="8" w:space="0"/>
              <w:left w:val="nil"/>
              <w:bottom w:val="nil"/>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FFFFFF"/>
            <w:vAlign w:val="center"/>
          </w:tcPr>
          <w:p>
            <w:pPr>
              <w:jc w:val="center"/>
              <w:rPr>
                <w:rFonts w:hint="eastAsia" w:ascii="Microsoft YaHei UI" w:hAnsi="Microsoft YaHei UI" w:eastAsia="Microsoft YaHei UI" w:cs="Microsoft YaHei UI"/>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both"/>
              <w:rPr>
                <w:rFonts w:hint="eastAsia" w:ascii="仿宋_GB2312" w:hAnsi="等线" w:eastAsia="仿宋_GB2312" w:cs="仿宋_GB2312"/>
                <w:i w:val="0"/>
                <w:iCs w:val="0"/>
                <w:color w:val="000000"/>
                <w:sz w:val="20"/>
                <w:szCs w:val="20"/>
                <w:u w:val="none"/>
              </w:rPr>
            </w:pPr>
          </w:p>
        </w:tc>
        <w:tc>
          <w:tcPr>
            <w:tcW w:w="2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2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等线" w:eastAsia="仿宋_GB2312" w:cs="仿宋_GB2312"/>
                <w:i w:val="0"/>
                <w:iCs w:val="0"/>
                <w:color w:val="000000"/>
                <w:sz w:val="20"/>
                <w:szCs w:val="20"/>
                <w:u w:val="none"/>
              </w:rPr>
            </w:pPr>
          </w:p>
        </w:tc>
        <w:tc>
          <w:tcPr>
            <w:tcW w:w="40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2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428800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34" w:type="pct"/>
            <w:gridSpan w:val="3"/>
            <w:tcBorders>
              <w:top w:val="nil"/>
              <w:left w:val="nil"/>
              <w:bottom w:val="single" w:color="000000" w:sz="8" w:space="0"/>
              <w:right w:val="nil"/>
            </w:tcBorders>
            <w:shd w:val="clear" w:color="auto" w:fill="auto"/>
            <w:noWrap/>
            <w:vAlign w:val="center"/>
          </w:tcPr>
          <w:p>
            <w:pPr>
              <w:keepNext w:val="0"/>
              <w:keepLines w:val="0"/>
              <w:widowControl/>
              <w:suppressLineNumbers w:val="0"/>
              <w:jc w:val="both"/>
              <w:textAlignment w:val="center"/>
              <w:rPr>
                <w:rFonts w:hint="eastAsia" w:ascii="仿宋_GB2312" w:hAnsi="等线" w:eastAsia="仿宋_GB2312" w:cs="仿宋_GB2312"/>
                <w:b/>
                <w:bCs/>
                <w:i w:val="0"/>
                <w:iCs w:val="0"/>
                <w:color w:val="000000"/>
                <w:sz w:val="21"/>
                <w:szCs w:val="21"/>
                <w:u w:val="none"/>
              </w:rPr>
            </w:pPr>
            <w:r>
              <w:rPr>
                <w:rFonts w:hint="eastAsia" w:ascii="仿宋_GB2312" w:hAnsi="等线" w:eastAsia="仿宋_GB2312" w:cs="仿宋_GB2312"/>
                <w:b/>
                <w:bCs/>
                <w:i w:val="0"/>
                <w:iCs w:val="0"/>
                <w:color w:val="000000"/>
                <w:kern w:val="0"/>
                <w:sz w:val="21"/>
                <w:szCs w:val="21"/>
                <w:u w:val="none"/>
                <w:lang w:val="en-US" w:eastAsia="zh-CN" w:bidi="ar"/>
              </w:rPr>
              <w:t>二、UPS系统</w:t>
            </w:r>
          </w:p>
        </w:tc>
        <w:tc>
          <w:tcPr>
            <w:tcW w:w="574" w:type="pct"/>
            <w:gridSpan w:val="2"/>
            <w:tcBorders>
              <w:top w:val="nil"/>
              <w:left w:val="nil"/>
              <w:bottom w:val="single" w:color="000000" w:sz="8" w:space="0"/>
              <w:right w:val="nil"/>
            </w:tcBorders>
            <w:shd w:val="clear" w:color="auto" w:fill="auto"/>
            <w:vAlign w:val="center"/>
          </w:tcPr>
          <w:p>
            <w:pPr>
              <w:jc w:val="center"/>
              <w:rPr>
                <w:rFonts w:hint="eastAsia" w:ascii="仿宋_GB2312" w:hAnsi="等线" w:eastAsia="仿宋_GB2312" w:cs="仿宋_GB2312"/>
                <w:b/>
                <w:bCs/>
                <w:i w:val="0"/>
                <w:iCs w:val="0"/>
                <w:color w:val="000000"/>
                <w:sz w:val="24"/>
                <w:szCs w:val="24"/>
                <w:u w:val="none"/>
              </w:rPr>
            </w:pPr>
          </w:p>
        </w:tc>
        <w:tc>
          <w:tcPr>
            <w:tcW w:w="402" w:type="pct"/>
            <w:tcBorders>
              <w:top w:val="nil"/>
              <w:left w:val="nil"/>
              <w:bottom w:val="nil"/>
              <w:right w:val="nil"/>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tcBorders>
              <w:top w:val="nil"/>
              <w:left w:val="nil"/>
              <w:bottom w:val="nil"/>
              <w:right w:val="nil"/>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tcBorders>
              <w:top w:val="nil"/>
              <w:left w:val="nil"/>
              <w:bottom w:val="nil"/>
              <w:right w:val="nil"/>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tcBorders>
              <w:top w:val="nil"/>
              <w:left w:val="nil"/>
              <w:bottom w:val="nil"/>
              <w:right w:val="nil"/>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287" w:type="pct"/>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UPS系统</w:t>
            </w:r>
          </w:p>
        </w:tc>
        <w:tc>
          <w:tcPr>
            <w:tcW w:w="2359" w:type="pc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1、UPS主机 1台：</w:t>
            </w:r>
          </w:p>
        </w:tc>
        <w:tc>
          <w:tcPr>
            <w:tcW w:w="287" w:type="pct"/>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287" w:type="pct"/>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项</w:t>
            </w:r>
          </w:p>
        </w:tc>
        <w:tc>
          <w:tcPr>
            <w:tcW w:w="4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HT33020XL，磐擎蓄电6GFM100-12</w:t>
            </w:r>
          </w:p>
        </w:tc>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78000</w:t>
            </w:r>
          </w:p>
        </w:tc>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安装方式:塔式;UPS类型:高频机;额定容量:</w:t>
            </w:r>
            <w:r>
              <w:rPr>
                <w:rFonts w:ascii="微软雅黑" w:hAnsi="微软雅黑" w:eastAsia="微软雅黑" w:cs="微软雅黑"/>
                <w:i w:val="0"/>
                <w:iCs w:val="0"/>
                <w:color w:val="000000"/>
                <w:kern w:val="0"/>
                <w:sz w:val="20"/>
                <w:szCs w:val="20"/>
                <w:u w:val="none"/>
                <w:lang w:val="en-US" w:eastAsia="zh-CN" w:bidi="ar"/>
              </w:rPr>
              <w:t>20</w:t>
            </w:r>
            <w:r>
              <w:rPr>
                <w:rFonts w:hint="eastAsia" w:ascii="仿宋_GB2312" w:hAnsi="等线" w:eastAsia="仿宋_GB2312" w:cs="仿宋_GB2312"/>
                <w:i w:val="0"/>
                <w:iCs w:val="0"/>
                <w:color w:val="000000"/>
                <w:kern w:val="0"/>
                <w:sz w:val="20"/>
                <w:szCs w:val="20"/>
                <w:u w:val="none"/>
                <w:lang w:val="en-US" w:eastAsia="zh-CN" w:bidi="ar"/>
              </w:rPr>
              <w:t>KVA;保护类型:过压保护+电池欠压保护+过载保护+短路保护;输入功因:</w:t>
            </w:r>
            <w:r>
              <w:rPr>
                <w:rStyle w:val="81"/>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0.99;输入谐波:</w:t>
            </w:r>
            <w:r>
              <w:rPr>
                <w:rStyle w:val="81"/>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3%;整机效率:</w:t>
            </w:r>
            <w:r>
              <w:rPr>
                <w:rStyle w:val="81"/>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95%;ECO模式:有;输入电压范围:380</w:t>
            </w:r>
            <w:r>
              <w:rPr>
                <w:rStyle w:val="82"/>
                <w:rFonts w:eastAsia="仿宋_GB2312"/>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25%;输入频率范围:50/60Hz</w:t>
            </w:r>
            <w:r>
              <w:rPr>
                <w:rStyle w:val="82"/>
                <w:rFonts w:eastAsia="仿宋_GB2312"/>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5Hz;输出电压范围:380</w:t>
            </w:r>
            <w:r>
              <w:rPr>
                <w:rStyle w:val="82"/>
                <w:rFonts w:eastAsia="仿宋_GB2312"/>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1%V;双市电输入:支持;输出功因:0.9;面板显示:LED+LCD;主机类别:长机;输出频率范围:50Hz/60Hz</w:t>
            </w:r>
            <w:r>
              <w:rPr>
                <w:rStyle w:val="82"/>
                <w:rFonts w:eastAsia="仿宋_GB2312"/>
                <w:lang w:val="en-US" w:eastAsia="zh-CN" w:bidi="ar"/>
              </w:rPr>
              <w:t>±</w:t>
            </w:r>
            <w:r>
              <w:rPr>
                <w:rFonts w:hint="eastAsia" w:ascii="仿宋_GB2312" w:hAnsi="等线" w:eastAsia="仿宋_GB2312" w:cs="仿宋_GB2312"/>
                <w:i w:val="0"/>
                <w:iCs w:val="0"/>
                <w:color w:val="000000"/>
                <w:kern w:val="0"/>
                <w:sz w:val="20"/>
                <w:szCs w:val="20"/>
                <w:u w:val="none"/>
                <w:lang w:val="en-US" w:eastAsia="zh-CN" w:bidi="ar"/>
              </w:rPr>
              <w:t>0.5%;报警功能:市电异常+电池欠压+输出过载+主机故障;输入配线:三相四线+地线;额定电压:380Vac;</w:t>
            </w: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2、UPS电池 32支：12V150AH蓄电池</w:t>
            </w: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3、电池架 1个：尺寸：800*1130*1450，双排4层每层8支</w:t>
            </w: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4、电池箱 1个：箱体尺寸：700*500*200，125A/3P直流开关</w:t>
            </w: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5、电池间连接线/铜排：含电池连接线、接线端子、绝缘帽及主机至电池柜之间连接线缆</w:t>
            </w: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6、UPS配电箱1个：</w:t>
            </w: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尺寸：600*500*160，63A/3P*1,63A/2P*1,20A/2P*16</w:t>
            </w: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7、配电：原配电柜增加4个20A/2P空开，改造为市电分路控制柜，并增加PDU10位10A，以及设备安装部署所对应施工。</w:t>
            </w: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35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仿宋_GB2312" w:hAnsi="等线" w:eastAsia="仿宋_GB2312" w:cs="仿宋_GB2312"/>
                <w:i w:val="0"/>
                <w:iCs w:val="0"/>
                <w:color w:val="000000"/>
                <w:sz w:val="20"/>
                <w:szCs w:val="20"/>
                <w:u w:val="none"/>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等线" w:eastAsia="仿宋_GB2312" w:cs="仿宋_GB2312"/>
                <w:i w:val="0"/>
                <w:iCs w:val="0"/>
                <w:color w:val="000000"/>
                <w:sz w:val="20"/>
                <w:szCs w:val="20"/>
                <w:u w:val="none"/>
              </w:rPr>
            </w:pPr>
          </w:p>
        </w:tc>
        <w:tc>
          <w:tcPr>
            <w:tcW w:w="40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2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78000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34" w:type="pct"/>
            <w:gridSpan w:val="3"/>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三、硬盘</w:t>
            </w:r>
          </w:p>
        </w:tc>
        <w:tc>
          <w:tcPr>
            <w:tcW w:w="574" w:type="pct"/>
            <w:gridSpan w:val="2"/>
            <w:tcBorders>
              <w:top w:val="nil"/>
              <w:left w:val="nil"/>
              <w:bottom w:val="single" w:color="000000" w:sz="8" w:space="0"/>
              <w:right w:val="nil"/>
            </w:tcBorders>
            <w:shd w:val="clear" w:color="auto" w:fill="auto"/>
            <w:vAlign w:val="center"/>
          </w:tcPr>
          <w:p>
            <w:pPr>
              <w:jc w:val="center"/>
              <w:rPr>
                <w:rFonts w:hint="eastAsia" w:ascii="仿宋_GB2312" w:hAnsi="等线" w:eastAsia="仿宋_GB2312" w:cs="仿宋_GB2312"/>
                <w:b/>
                <w:bCs/>
                <w:i w:val="0"/>
                <w:iCs w:val="0"/>
                <w:color w:val="000000"/>
                <w:sz w:val="22"/>
                <w:szCs w:val="22"/>
                <w:u w:val="none"/>
              </w:rPr>
            </w:pPr>
          </w:p>
        </w:tc>
        <w:tc>
          <w:tcPr>
            <w:tcW w:w="402" w:type="pct"/>
            <w:tcBorders>
              <w:top w:val="nil"/>
              <w:left w:val="nil"/>
              <w:bottom w:val="nil"/>
              <w:right w:val="nil"/>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tcBorders>
              <w:top w:val="nil"/>
              <w:left w:val="nil"/>
              <w:bottom w:val="nil"/>
              <w:right w:val="nil"/>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tcBorders>
              <w:top w:val="nil"/>
              <w:left w:val="nil"/>
              <w:bottom w:val="nil"/>
              <w:right w:val="nil"/>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252" w:type="pct"/>
            <w:tcBorders>
              <w:top w:val="nil"/>
              <w:left w:val="nil"/>
              <w:bottom w:val="nil"/>
              <w:right w:val="nil"/>
            </w:tcBorders>
            <w:shd w:val="clear" w:color="auto" w:fill="auto"/>
            <w:vAlign w:val="center"/>
          </w:tcPr>
          <w:p>
            <w:pPr>
              <w:jc w:val="cente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87"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287"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服务器硬盘扩容</w:t>
            </w:r>
          </w:p>
        </w:tc>
        <w:tc>
          <w:tcPr>
            <w:tcW w:w="2359"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对已有的</w:t>
            </w:r>
            <w:r>
              <w:rPr>
                <w:rStyle w:val="83"/>
                <w:lang w:val="en-US" w:eastAsia="zh-CN" w:bidi="ar"/>
              </w:rPr>
              <w:t>HP</w:t>
            </w:r>
            <w:r>
              <w:rPr>
                <w:rFonts w:hint="eastAsia" w:ascii="宋体" w:hAnsi="宋体" w:eastAsia="宋体" w:cs="宋体"/>
                <w:i w:val="0"/>
                <w:iCs w:val="0"/>
                <w:color w:val="000000"/>
                <w:kern w:val="0"/>
                <w:sz w:val="20"/>
                <w:szCs w:val="20"/>
                <w:u w:val="none"/>
                <w:lang w:val="en-US" w:eastAsia="zh-CN" w:bidi="ar"/>
              </w:rPr>
              <w:t>存储设备进行扩容存储，</w:t>
            </w:r>
            <w:r>
              <w:rPr>
                <w:rStyle w:val="83"/>
                <w:lang w:val="en-US" w:eastAsia="zh-CN" w:bidi="ar"/>
              </w:rPr>
              <w:t>SAS</w:t>
            </w:r>
            <w:r>
              <w:rPr>
                <w:rFonts w:hint="eastAsia" w:ascii="宋体" w:hAnsi="宋体" w:eastAsia="宋体" w:cs="宋体"/>
                <w:i w:val="0"/>
                <w:iCs w:val="0"/>
                <w:color w:val="000000"/>
                <w:kern w:val="0"/>
                <w:sz w:val="20"/>
                <w:szCs w:val="20"/>
                <w:u w:val="none"/>
                <w:lang w:val="en-US" w:eastAsia="zh-CN" w:bidi="ar"/>
              </w:rPr>
              <w:t>盘</w:t>
            </w:r>
            <w:r>
              <w:rPr>
                <w:rStyle w:val="83"/>
                <w:lang w:val="en-US" w:eastAsia="zh-CN" w:bidi="ar"/>
              </w:rPr>
              <w:t>1.2TB</w:t>
            </w:r>
            <w:r>
              <w:rPr>
                <w:rFonts w:hint="eastAsia" w:ascii="宋体" w:hAnsi="宋体" w:eastAsia="宋体" w:cs="宋体"/>
                <w:i w:val="0"/>
                <w:iCs w:val="0"/>
                <w:color w:val="000000"/>
                <w:kern w:val="0"/>
                <w:sz w:val="20"/>
                <w:szCs w:val="20"/>
                <w:u w:val="none"/>
                <w:lang w:val="en-US" w:eastAsia="zh-CN" w:bidi="ar"/>
              </w:rPr>
              <w:t>，</w:t>
            </w:r>
            <w:r>
              <w:rPr>
                <w:rStyle w:val="83"/>
                <w:lang w:val="en-US" w:eastAsia="zh-CN" w:bidi="ar"/>
              </w:rPr>
              <w:t>5</w:t>
            </w:r>
            <w:r>
              <w:rPr>
                <w:rFonts w:hint="eastAsia" w:ascii="宋体" w:hAnsi="宋体" w:eastAsia="宋体" w:cs="宋体"/>
                <w:i w:val="0"/>
                <w:iCs w:val="0"/>
                <w:color w:val="000000"/>
                <w:kern w:val="0"/>
                <w:sz w:val="20"/>
                <w:szCs w:val="20"/>
                <w:u w:val="none"/>
                <w:lang w:val="en-US" w:eastAsia="zh-CN" w:bidi="ar"/>
              </w:rPr>
              <w:t>块，现在部署的有</w:t>
            </w:r>
            <w:r>
              <w:rPr>
                <w:rStyle w:val="83"/>
                <w:lang w:val="en-US" w:eastAsia="zh-CN" w:bidi="ar"/>
              </w:rPr>
              <w:t>VMware Esxi</w:t>
            </w:r>
            <w:r>
              <w:rPr>
                <w:rFonts w:hint="eastAsia" w:ascii="宋体" w:hAnsi="宋体" w:eastAsia="宋体" w:cs="宋体"/>
                <w:i w:val="0"/>
                <w:iCs w:val="0"/>
                <w:color w:val="000000"/>
                <w:kern w:val="0"/>
                <w:sz w:val="20"/>
                <w:szCs w:val="20"/>
                <w:u w:val="none"/>
                <w:lang w:val="en-US" w:eastAsia="zh-CN" w:bidi="ar"/>
              </w:rPr>
              <w:t>，需要将扩容的这</w:t>
            </w:r>
            <w:r>
              <w:rPr>
                <w:rStyle w:val="83"/>
                <w:lang w:val="en-US" w:eastAsia="zh-CN" w:bidi="ar"/>
              </w:rPr>
              <w:t>5</w:t>
            </w:r>
            <w:r>
              <w:rPr>
                <w:rFonts w:hint="eastAsia" w:ascii="宋体" w:hAnsi="宋体" w:eastAsia="宋体" w:cs="宋体"/>
                <w:i w:val="0"/>
                <w:iCs w:val="0"/>
                <w:color w:val="000000"/>
                <w:kern w:val="0"/>
                <w:sz w:val="20"/>
                <w:szCs w:val="20"/>
                <w:u w:val="none"/>
                <w:lang w:val="en-US" w:eastAsia="zh-CN" w:bidi="ar"/>
              </w:rPr>
              <w:t>块盘纳管到平台中。</w:t>
            </w:r>
          </w:p>
        </w:tc>
        <w:tc>
          <w:tcPr>
            <w:tcW w:w="287"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5</w:t>
            </w:r>
          </w:p>
        </w:tc>
        <w:tc>
          <w:tcPr>
            <w:tcW w:w="287"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个</w:t>
            </w:r>
          </w:p>
        </w:tc>
        <w:tc>
          <w:tcPr>
            <w:tcW w:w="40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none"/>
                <w:u w:val="none"/>
              </w:rPr>
            </w:pPr>
          </w:p>
        </w:tc>
        <w:tc>
          <w:tcPr>
            <w:tcW w:w="24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2700</w:t>
            </w:r>
          </w:p>
        </w:tc>
        <w:tc>
          <w:tcPr>
            <w:tcW w:w="25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12" w:type="dxa"/>
            <w:tcBorders>
              <w:top w:val="nil"/>
              <w:left w:val="single" w:color="000000" w:sz="8" w:space="0"/>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kern w:val="0"/>
                <w:sz w:val="20"/>
                <w:szCs w:val="20"/>
                <w:u w:val="none"/>
                <w:lang w:val="en-US" w:eastAsia="zh-CN" w:bidi="ar"/>
              </w:rPr>
            </w:pPr>
          </w:p>
        </w:tc>
        <w:tc>
          <w:tcPr>
            <w:tcW w:w="716" w:type="dxa"/>
            <w:tcBorders>
              <w:top w:val="nil"/>
              <w:left w:val="nil"/>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kern w:val="0"/>
                <w:sz w:val="20"/>
                <w:szCs w:val="20"/>
                <w:u w:val="none"/>
                <w:lang w:val="en-US" w:eastAsia="zh-CN" w:bidi="ar"/>
              </w:rPr>
            </w:pPr>
          </w:p>
        </w:tc>
        <w:tc>
          <w:tcPr>
            <w:tcW w:w="6651" w:type="dxa"/>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c>
          <w:tcPr>
            <w:tcW w:w="613" w:type="dxa"/>
            <w:tcBorders>
              <w:top w:val="nil"/>
              <w:left w:val="nil"/>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kern w:val="0"/>
                <w:sz w:val="20"/>
                <w:szCs w:val="20"/>
                <w:u w:val="none"/>
                <w:lang w:val="en-US" w:eastAsia="zh-CN" w:bidi="ar"/>
              </w:rPr>
            </w:pPr>
          </w:p>
        </w:tc>
        <w:tc>
          <w:tcPr>
            <w:tcW w:w="613" w:type="dxa"/>
            <w:tcBorders>
              <w:top w:val="nil"/>
              <w:left w:val="nil"/>
              <w:bottom w:val="nil"/>
              <w:right w:val="single" w:color="000000" w:sz="8" w:space="0"/>
            </w:tcBorders>
            <w:shd w:val="clear" w:color="auto" w:fill="auto"/>
            <w:vAlign w:val="center"/>
          </w:tcPr>
          <w:p>
            <w:pPr>
              <w:jc w:val="center"/>
              <w:rPr>
                <w:rFonts w:hint="eastAsia" w:ascii="仿宋_GB2312" w:hAnsi="等线" w:eastAsia="仿宋_GB2312" w:cs="仿宋_GB2312"/>
                <w:i w:val="0"/>
                <w:iCs w:val="0"/>
                <w:color w:val="000000"/>
                <w:kern w:val="0"/>
                <w:sz w:val="20"/>
                <w:szCs w:val="20"/>
                <w:u w:val="none"/>
                <w:lang w:val="en-US" w:eastAsia="zh-CN" w:bidi="ar"/>
              </w:rPr>
            </w:pPr>
          </w:p>
        </w:tc>
        <w:tc>
          <w:tcPr>
            <w:tcW w:w="15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yellow"/>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yellow"/>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小计</w:t>
            </w:r>
          </w:p>
        </w:tc>
        <w:tc>
          <w:tcPr>
            <w:tcW w:w="9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612" w:type="dxa"/>
            <w:tcBorders>
              <w:top w:val="nil"/>
              <w:left w:val="single" w:color="000000" w:sz="8" w:space="0"/>
              <w:bottom w:val="single" w:color="000000" w:sz="8" w:space="0"/>
              <w:right w:val="single" w:color="000000" w:sz="8" w:space="0"/>
            </w:tcBorders>
            <w:shd w:val="clear" w:color="auto" w:fill="auto"/>
            <w:vAlign w:val="bottom"/>
          </w:tcPr>
          <w:p>
            <w:pPr>
              <w:rPr>
                <w:rFonts w:hint="eastAsia" w:ascii="仿宋_GB2312" w:hAnsi="等线" w:eastAsia="仿宋_GB2312" w:cs="仿宋_GB2312"/>
                <w:i w:val="0"/>
                <w:iCs w:val="0"/>
                <w:color w:val="000000"/>
                <w:kern w:val="0"/>
                <w:sz w:val="20"/>
                <w:szCs w:val="20"/>
                <w:u w:val="none"/>
                <w:lang w:val="en-US" w:eastAsia="zh-CN" w:bidi="ar"/>
              </w:rPr>
            </w:pPr>
          </w:p>
        </w:tc>
        <w:tc>
          <w:tcPr>
            <w:tcW w:w="716" w:type="dxa"/>
            <w:tcBorders>
              <w:top w:val="nil"/>
              <w:left w:val="nil"/>
              <w:bottom w:val="single" w:color="000000" w:sz="8" w:space="0"/>
              <w:right w:val="single" w:color="000000" w:sz="8" w:space="0"/>
            </w:tcBorders>
            <w:shd w:val="clear" w:color="auto" w:fill="auto"/>
            <w:vAlign w:val="bottom"/>
          </w:tcPr>
          <w:p>
            <w:pPr>
              <w:rPr>
                <w:rFonts w:hint="eastAsia" w:ascii="仿宋_GB2312" w:hAnsi="等线" w:eastAsia="仿宋_GB2312" w:cs="仿宋_GB2312"/>
                <w:i w:val="0"/>
                <w:iCs w:val="0"/>
                <w:color w:val="000000"/>
                <w:kern w:val="0"/>
                <w:sz w:val="20"/>
                <w:szCs w:val="20"/>
                <w:u w:val="none"/>
                <w:lang w:val="en-US" w:eastAsia="zh-CN" w:bidi="ar"/>
              </w:rPr>
            </w:pPr>
          </w:p>
        </w:tc>
        <w:tc>
          <w:tcPr>
            <w:tcW w:w="6651" w:type="dxa"/>
            <w:tcBorders>
              <w:top w:val="nil"/>
              <w:left w:val="nil"/>
              <w:bottom w:val="single" w:color="000000" w:sz="8" w:space="0"/>
              <w:right w:val="single" w:color="000000" w:sz="8" w:space="0"/>
            </w:tcBorders>
            <w:shd w:val="clear" w:color="auto" w:fill="auto"/>
            <w:vAlign w:val="bottom"/>
          </w:tcPr>
          <w:p>
            <w:pPr>
              <w:rPr>
                <w:rFonts w:hint="eastAsia" w:ascii="宋体" w:hAnsi="宋体" w:eastAsia="宋体" w:cs="宋体"/>
                <w:i w:val="0"/>
                <w:iCs w:val="0"/>
                <w:color w:val="000000"/>
                <w:kern w:val="0"/>
                <w:sz w:val="20"/>
                <w:szCs w:val="20"/>
                <w:u w:val="none"/>
                <w:lang w:val="en-US" w:eastAsia="zh-CN" w:bidi="ar"/>
              </w:rPr>
            </w:pPr>
          </w:p>
        </w:tc>
        <w:tc>
          <w:tcPr>
            <w:tcW w:w="613" w:type="dxa"/>
            <w:tcBorders>
              <w:top w:val="nil"/>
              <w:left w:val="nil"/>
              <w:bottom w:val="single" w:color="000000" w:sz="8" w:space="0"/>
              <w:right w:val="single" w:color="000000" w:sz="8" w:space="0"/>
            </w:tcBorders>
            <w:shd w:val="clear" w:color="auto" w:fill="auto"/>
            <w:vAlign w:val="bottom"/>
          </w:tcPr>
          <w:p>
            <w:pPr>
              <w:rPr>
                <w:rFonts w:hint="eastAsia" w:ascii="仿宋_GB2312" w:hAnsi="等线" w:eastAsia="仿宋_GB2312" w:cs="仿宋_GB2312"/>
                <w:i w:val="0"/>
                <w:iCs w:val="0"/>
                <w:color w:val="000000"/>
                <w:kern w:val="0"/>
                <w:sz w:val="20"/>
                <w:szCs w:val="20"/>
                <w:u w:val="none"/>
                <w:lang w:val="en-US" w:eastAsia="zh-CN" w:bidi="ar"/>
              </w:rPr>
            </w:pPr>
          </w:p>
        </w:tc>
        <w:tc>
          <w:tcPr>
            <w:tcW w:w="613" w:type="dxa"/>
            <w:tcBorders>
              <w:top w:val="nil"/>
              <w:left w:val="nil"/>
              <w:bottom w:val="single" w:color="000000" w:sz="8" w:space="0"/>
              <w:right w:val="single" w:color="000000" w:sz="8" w:space="0"/>
            </w:tcBorders>
            <w:shd w:val="clear" w:color="auto" w:fill="auto"/>
            <w:vAlign w:val="bottom"/>
          </w:tcPr>
          <w:p>
            <w:pPr>
              <w:rPr>
                <w:rFonts w:hint="eastAsia" w:ascii="仿宋_GB2312" w:hAnsi="等线" w:eastAsia="仿宋_GB2312" w:cs="仿宋_GB2312"/>
                <w:i w:val="0"/>
                <w:iCs w:val="0"/>
                <w:color w:val="000000"/>
                <w:kern w:val="0"/>
                <w:sz w:val="20"/>
                <w:szCs w:val="20"/>
                <w:u w:val="none"/>
                <w:lang w:val="en-US" w:eastAsia="zh-CN" w:bidi="ar"/>
              </w:rPr>
            </w:pPr>
          </w:p>
        </w:tc>
        <w:tc>
          <w:tcPr>
            <w:tcW w:w="151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yellow"/>
                <w:u w:val="none"/>
              </w:rPr>
            </w:pPr>
          </w:p>
        </w:tc>
        <w:tc>
          <w:tcPr>
            <w:tcW w:w="222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highlight w:val="yellow"/>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4"/>
                <w:szCs w:val="24"/>
                <w:u w:val="none"/>
                <w:lang w:val="en-US" w:eastAsia="zh-CN" w:bidi="ar"/>
              </w:rPr>
              <w:t>合计</w:t>
            </w:r>
          </w:p>
        </w:tc>
        <w:tc>
          <w:tcPr>
            <w:tcW w:w="9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4"/>
                <w:szCs w:val="24"/>
                <w:u w:val="none"/>
                <w:lang w:val="en-US" w:eastAsia="zh-CN" w:bidi="ar"/>
              </w:rPr>
              <w:t>520300</w:t>
            </w:r>
          </w:p>
        </w:tc>
      </w:tr>
    </w:tbl>
    <w:p>
      <w:pPr>
        <w:widowControl/>
        <w:jc w:val="left"/>
        <w:rPr>
          <w:rFonts w:hint="default"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注：供应商报价每一项不得超过规定的限价，否则视为无效投标。</w:t>
      </w:r>
    </w:p>
    <w:p>
      <w:pPr>
        <w:spacing w:before="96" w:line="219" w:lineRule="auto"/>
        <w:outlineLvl w:val="0"/>
        <w:rPr>
          <w:rFonts w:hint="eastAsia" w:ascii="宋体" w:hAnsi="宋体" w:eastAsia="宋体" w:cs="宋体"/>
          <w:b/>
          <w:bCs/>
          <w:spacing w:val="-21"/>
          <w:sz w:val="28"/>
          <w:szCs w:val="28"/>
          <w:highlight w:val="none"/>
          <w:lang w:eastAsia="zh-CN"/>
        </w:rPr>
      </w:pPr>
      <w:r>
        <w:rPr>
          <w:rFonts w:hint="eastAsia" w:ascii="宋体" w:hAnsi="宋体" w:eastAsia="宋体" w:cs="宋体"/>
          <w:b/>
          <w:bCs/>
          <w:spacing w:val="-21"/>
          <w:sz w:val="28"/>
          <w:szCs w:val="28"/>
          <w:highlight w:val="none"/>
          <w:lang w:val="en-US" w:eastAsia="zh-CN"/>
        </w:rPr>
        <w:t>七、</w:t>
      </w:r>
      <w:r>
        <w:rPr>
          <w:rFonts w:ascii="宋体" w:hAnsi="宋体" w:eastAsia="宋体" w:cs="宋体"/>
          <w:b/>
          <w:bCs/>
          <w:spacing w:val="-21"/>
          <w:sz w:val="28"/>
          <w:szCs w:val="28"/>
          <w:highlight w:val="none"/>
        </w:rPr>
        <w:t>商务要求</w:t>
      </w:r>
      <w:r>
        <w:rPr>
          <w:rFonts w:hint="eastAsia" w:ascii="宋体" w:hAnsi="宋体" w:eastAsia="宋体" w:cs="宋体"/>
          <w:b/>
          <w:bCs/>
          <w:spacing w:val="-21"/>
          <w:sz w:val="28"/>
          <w:szCs w:val="28"/>
          <w:highlight w:val="none"/>
          <w:lang w:eastAsia="zh-CN"/>
        </w:rPr>
        <w:t>：</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1、磋商报价</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1.1、磋商以人民币报价。供应商递交的响应文件中的报价作为参考价，最终报价在磋商后由供应商报出并公布。</w:t>
      </w:r>
    </w:p>
    <w:p>
      <w:pPr>
        <w:widowControl/>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w:t>
      </w:r>
      <w:r>
        <w:rPr>
          <w:rFonts w:hint="eastAsia" w:ascii="宋体" w:hAnsi="宋体" w:eastAsia="宋体" w:cs="宋体"/>
          <w:b w:val="0"/>
          <w:bCs w:val="0"/>
          <w:kern w:val="0"/>
          <w:sz w:val="28"/>
          <w:szCs w:val="28"/>
          <w:highlight w:val="none"/>
          <w:lang w:val="en-US" w:eastAsia="zh-CN"/>
        </w:rPr>
        <w:t>1.2、本项目预算为520300元，磋商报价超出预算的供应商取消磋商资格。</w:t>
      </w:r>
    </w:p>
    <w:p>
      <w:pPr>
        <w:widowControl/>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w:t>
      </w:r>
      <w:r>
        <w:rPr>
          <w:rFonts w:hint="eastAsia" w:ascii="宋体" w:hAnsi="宋体" w:eastAsia="宋体" w:cs="宋体"/>
          <w:b w:val="0"/>
          <w:bCs w:val="0"/>
          <w:kern w:val="0"/>
          <w:sz w:val="28"/>
          <w:szCs w:val="28"/>
          <w:highlight w:val="none"/>
          <w:lang w:val="en-US" w:eastAsia="zh-CN"/>
        </w:rPr>
        <w:t>1.3、磋商报价必须包含软硬件设备本身价、安装调试费、售后服务、培训、运输、保险及各种税金等所有费用。</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2、售后服务：</w:t>
      </w:r>
    </w:p>
    <w:p>
      <w:pPr>
        <w:widowControl/>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w:t>
      </w:r>
      <w:r>
        <w:rPr>
          <w:rFonts w:hint="eastAsia" w:ascii="宋体" w:hAnsi="宋体" w:eastAsia="宋体" w:cs="宋体"/>
          <w:b w:val="0"/>
          <w:bCs w:val="0"/>
          <w:kern w:val="0"/>
          <w:sz w:val="28"/>
          <w:szCs w:val="28"/>
          <w:highlight w:val="none"/>
          <w:lang w:val="en-US" w:eastAsia="zh-CN"/>
        </w:rPr>
        <w:t>2.1成交供应商在项目建设期选派一人驻场；在验收后，提供30个月的售后服务和免费技术服务。基础硬件提供30个月售后服务和免费技术支持。提供7×24小时电话咨询服务，重大故障2小时内维修人员到达现场处理(相关售后服务内容需提供承诺函）。</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2.2质保期结束后：成交供应商对系统的缺陷修复免费，对系统的升级仅收取成本费。基础硬件产品成交供应商根据采购人要求进行有偿维护和修理，承诺免费提供设备维修服务，对提供的配件、材料仅收取成本费。</w:t>
      </w:r>
    </w:p>
    <w:p>
      <w:pPr>
        <w:widowControl/>
        <w:numPr>
          <w:ilvl w:val="0"/>
          <w:numId w:val="0"/>
        </w:numPr>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lang w:val="en-US" w:eastAsia="zh-CN" w:bidi="ar-SA"/>
        </w:rPr>
        <w:t>3、</w:t>
      </w:r>
      <w:r>
        <w:rPr>
          <w:rFonts w:hint="eastAsia" w:ascii="宋体" w:hAnsi="宋体" w:eastAsia="宋体" w:cs="宋体"/>
          <w:b w:val="0"/>
          <w:bCs w:val="0"/>
          <w:kern w:val="0"/>
          <w:sz w:val="28"/>
          <w:szCs w:val="28"/>
          <w:highlight w:val="none"/>
          <w:lang w:val="en-US" w:eastAsia="zh-CN"/>
        </w:rPr>
        <w:t>培训：采购人预先指定系统管理员，全程参与项目的安装、调试；成交供应商采用集体上课、个别答疑的办法培训，对本项目的使用者提供使用培训；对领导等重点用户，采用个别辅导的办法进行培训。</w:t>
      </w:r>
    </w:p>
    <w:p>
      <w:pPr>
        <w:widowControl/>
        <w:numPr>
          <w:ilvl w:val="0"/>
          <w:numId w:val="0"/>
        </w:numPr>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w:t>
      </w:r>
      <w:r>
        <w:rPr>
          <w:rFonts w:hint="eastAsia" w:ascii="宋体" w:hAnsi="宋体" w:eastAsia="宋体" w:cs="宋体"/>
          <w:b w:val="0"/>
          <w:bCs w:val="0"/>
          <w:kern w:val="0"/>
          <w:sz w:val="28"/>
          <w:szCs w:val="28"/>
          <w:highlight w:val="none"/>
          <w:lang w:val="en-US" w:eastAsia="zh-CN"/>
        </w:rPr>
        <w:t>4、供应商需为一般纳税人。</w:t>
      </w:r>
    </w:p>
    <w:p>
      <w:pPr>
        <w:rPr>
          <w:rFonts w:hint="eastAsia" w:ascii="宋体" w:hAnsi="宋体" w:eastAsia="宋体" w:cs="宋体"/>
          <w:bCs/>
          <w:color w:val="auto"/>
          <w:sz w:val="32"/>
          <w:szCs w:val="32"/>
          <w:highlight w:val="none"/>
          <w:lang w:val="en-US" w:eastAsia="zh-CN"/>
        </w:rPr>
        <w:sectPr>
          <w:pgSz w:w="16839" w:h="11907" w:orient="landscape"/>
          <w:pgMar w:top="1769" w:right="1092" w:bottom="1717" w:left="1154" w:header="1077" w:footer="993" w:gutter="0"/>
          <w:pgBorders>
            <w:top w:val="none" w:sz="0" w:space="0"/>
            <w:left w:val="none" w:sz="0" w:space="0"/>
            <w:bottom w:val="none" w:sz="0" w:space="0"/>
            <w:right w:val="none" w:sz="0" w:space="0"/>
          </w:pgBorders>
          <w:pgNumType w:fmt="decimal" w:start="1"/>
          <w:cols w:space="720" w:num="1"/>
        </w:sectPr>
      </w:pPr>
      <w:r>
        <w:rPr>
          <w:rFonts w:hint="eastAsia" w:ascii="宋体" w:hAnsi="宋体" w:cs="宋体"/>
          <w:b/>
          <w:bCs/>
          <w:snapToGrid w:val="0"/>
          <w:color w:val="000000"/>
          <w:kern w:val="0"/>
          <w:sz w:val="24"/>
          <w:szCs w:val="24"/>
          <w:lang w:val="en-US" w:eastAsia="zh-CN" w:bidi="ar"/>
        </w:rPr>
        <w:t>注：标*为项目重要指标，</w:t>
      </w:r>
      <w:r>
        <w:rPr>
          <w:rFonts w:hint="eastAsia" w:ascii="宋体" w:hAnsi="宋体" w:cs="宋体"/>
          <w:b/>
          <w:bCs/>
          <w:snapToGrid w:val="0"/>
          <w:color w:val="000000"/>
          <w:kern w:val="0"/>
          <w:sz w:val="24"/>
          <w:szCs w:val="24"/>
          <w:lang w:bidi="ar"/>
        </w:rPr>
        <w:t>投标人有一项不满足的即为无效投标</w:t>
      </w:r>
      <w:r>
        <w:rPr>
          <w:rFonts w:hint="eastAsia" w:ascii="宋体" w:hAnsi="宋体" w:eastAsia="宋体" w:cs="宋体"/>
          <w:b/>
          <w:bCs/>
          <w:snapToGrid w:val="0"/>
          <w:color w:val="000000"/>
          <w:kern w:val="0"/>
          <w:sz w:val="24"/>
          <w:szCs w:val="24"/>
          <w:lang w:eastAsia="zh-CN" w:bidi="ar"/>
        </w:rPr>
        <w:t>。</w:t>
      </w:r>
    </w:p>
    <w:p>
      <w:pPr>
        <w:rPr>
          <w:rFonts w:hint="eastAsia" w:ascii="宋体" w:hAnsi="宋体" w:cs="宋体"/>
          <w:bCs/>
          <w:color w:val="auto"/>
          <w:sz w:val="32"/>
          <w:szCs w:val="32"/>
          <w:highlight w:val="none"/>
        </w:rPr>
      </w:pPr>
    </w:p>
    <w:p>
      <w:pPr>
        <w:pStyle w:val="2"/>
        <w:numPr>
          <w:ilvl w:val="0"/>
          <w:numId w:val="0"/>
        </w:numPr>
        <w:jc w:val="both"/>
        <w:rPr>
          <w:rFonts w:ascii="宋体" w:hAnsi="宋体" w:cs="宋体"/>
          <w:bCs/>
          <w:color w:val="auto"/>
          <w:sz w:val="32"/>
          <w:szCs w:val="32"/>
          <w:highlight w:val="none"/>
        </w:rPr>
      </w:pPr>
      <w:r>
        <w:rPr>
          <w:rFonts w:hint="eastAsia" w:ascii="宋体" w:hAnsi="宋体" w:cs="宋体"/>
          <w:bCs/>
          <w:color w:val="auto"/>
          <w:sz w:val="32"/>
          <w:szCs w:val="32"/>
          <w:highlight w:val="none"/>
        </w:rPr>
        <w:t>响应文件格式</w:t>
      </w:r>
      <w:bookmarkEnd w:id="33"/>
      <w:bookmarkEnd w:id="34"/>
    </w:p>
    <w:p>
      <w:pPr>
        <w:rPr>
          <w:color w:val="auto"/>
          <w:highlight w:val="none"/>
        </w:rPr>
      </w:pPr>
    </w:p>
    <w:p>
      <w:pPr>
        <w:ind w:firstLine="6120" w:firstLineChars="2550"/>
        <w:rPr>
          <w:rFonts w:ascii="宋体" w:hAnsi="宋体" w:eastAsia="宋体" w:cs="宋体"/>
          <w:color w:val="auto"/>
          <w:sz w:val="24"/>
          <w:szCs w:val="24"/>
          <w:highlight w:val="none"/>
        </w:rPr>
      </w:pPr>
    </w:p>
    <w:p>
      <w:pPr>
        <w:ind w:firstLine="6120" w:firstLineChars="25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正本（副本）</w:t>
      </w:r>
    </w:p>
    <w:p>
      <w:pPr>
        <w:jc w:val="center"/>
        <w:rPr>
          <w:rFonts w:hint="eastAsia" w:ascii="宋体" w:hAnsi="宋体" w:eastAsia="宋体" w:cs="宋体"/>
          <w:color w:val="auto"/>
          <w:sz w:val="48"/>
          <w:szCs w:val="48"/>
          <w:highlight w:val="none"/>
          <w:lang w:val="en-US" w:eastAsia="zh-CN"/>
        </w:rPr>
      </w:pPr>
    </w:p>
    <w:p>
      <w:pPr>
        <w:jc w:val="center"/>
        <w:rPr>
          <w:rFonts w:hint="eastAsia" w:ascii="宋体" w:hAnsi="宋体" w:eastAsia="宋体" w:cs="宋体"/>
          <w:color w:val="auto"/>
          <w:sz w:val="48"/>
          <w:szCs w:val="48"/>
          <w:highlight w:val="none"/>
          <w:lang w:val="en-US" w:eastAsia="zh-CN"/>
        </w:rPr>
      </w:pPr>
    </w:p>
    <w:p>
      <w:pPr>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48"/>
          <w:szCs w:val="48"/>
          <w:highlight w:val="none"/>
          <w:lang w:val="en-US" w:eastAsia="zh-CN"/>
        </w:rPr>
        <w:t>XXX项目</w:t>
      </w:r>
    </w:p>
    <w:p>
      <w:pPr>
        <w:rPr>
          <w:rFonts w:ascii="宋体" w:hAnsi="宋体" w:eastAsia="宋体" w:cs="宋体"/>
          <w:color w:val="auto"/>
          <w:sz w:val="32"/>
          <w:szCs w:val="32"/>
          <w:highlight w:val="none"/>
        </w:rPr>
      </w:pPr>
    </w:p>
    <w:p>
      <w:pPr>
        <w:jc w:val="center"/>
        <w:rPr>
          <w:rFonts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p>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pStyle w:val="37"/>
        <w:ind w:firstLine="480"/>
        <w:rPr>
          <w:rFonts w:eastAsia="宋体" w:cs="宋体"/>
          <w:color w:val="auto"/>
          <w:szCs w:val="24"/>
          <w:highlight w:val="none"/>
        </w:rPr>
      </w:pPr>
    </w:p>
    <w:p>
      <w:pPr>
        <w:pStyle w:val="37"/>
        <w:ind w:firstLine="480"/>
        <w:rPr>
          <w:rFonts w:eastAsia="宋体" w:cs="宋体"/>
          <w:color w:val="auto"/>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供 应 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(盖章)</w:t>
      </w:r>
    </w:p>
    <w:p>
      <w:pPr>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(签字</w:t>
      </w:r>
      <w:r>
        <w:rPr>
          <w:rFonts w:hint="eastAsia" w:ascii="宋体" w:hAnsi="宋体" w:eastAsia="宋体" w:cs="宋体"/>
          <w:color w:val="auto"/>
          <w:sz w:val="28"/>
          <w:szCs w:val="28"/>
          <w:highlight w:val="none"/>
          <w:u w:val="single"/>
          <w:lang w:eastAsia="zh-CN"/>
        </w:rPr>
        <w:t>或盖章</w:t>
      </w:r>
      <w:r>
        <w:rPr>
          <w:rFonts w:hint="eastAsia" w:ascii="宋体" w:hAnsi="宋体" w:eastAsia="宋体" w:cs="宋体"/>
          <w:color w:val="auto"/>
          <w:sz w:val="28"/>
          <w:szCs w:val="28"/>
          <w:highlight w:val="none"/>
          <w:u w:val="single"/>
        </w:rPr>
        <w:t>)</w:t>
      </w:r>
    </w:p>
    <w:p>
      <w:pPr>
        <w:ind w:firstLine="840" w:firstLineChars="3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none"/>
          <w:lang w:val="en-US" w:eastAsia="zh-CN"/>
        </w:rPr>
        <w:t>联系电话：</w:t>
      </w:r>
      <w:r>
        <w:rPr>
          <w:rFonts w:hint="eastAsia" w:ascii="宋体" w:hAnsi="宋体" w:eastAsia="宋体" w:cs="宋体"/>
          <w:color w:val="auto"/>
          <w:sz w:val="28"/>
          <w:szCs w:val="28"/>
          <w:highlight w:val="none"/>
          <w:u w:val="single"/>
          <w:lang w:val="en-US" w:eastAsia="zh-CN"/>
        </w:rPr>
        <w:t xml:space="preserve">                                     </w:t>
      </w:r>
    </w:p>
    <w:p>
      <w:pPr>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37"/>
        <w:ind w:firstLine="560"/>
        <w:rPr>
          <w:rFonts w:eastAsia="宋体" w:cs="宋体"/>
          <w:color w:val="auto"/>
          <w:sz w:val="28"/>
          <w:szCs w:val="28"/>
          <w:highlight w:val="none"/>
        </w:rPr>
      </w:pPr>
    </w:p>
    <w:p>
      <w:pPr>
        <w:pStyle w:val="37"/>
        <w:ind w:firstLine="480"/>
        <w:rPr>
          <w:rFonts w:eastAsia="宋体" w:cs="宋体"/>
          <w:color w:val="auto"/>
          <w:szCs w:val="24"/>
          <w:highlight w:val="none"/>
        </w:rPr>
      </w:pPr>
    </w:p>
    <w:p>
      <w:pPr>
        <w:pStyle w:val="37"/>
        <w:ind w:firstLine="480"/>
        <w:rPr>
          <w:rFonts w:eastAsia="宋体" w:cs="宋体"/>
          <w:color w:val="auto"/>
          <w:szCs w:val="24"/>
          <w:highlight w:val="none"/>
        </w:rPr>
      </w:pPr>
    </w:p>
    <w:p>
      <w:pPr>
        <w:pStyle w:val="37"/>
        <w:ind w:firstLine="480"/>
        <w:rPr>
          <w:rFonts w:eastAsia="宋体" w:cs="宋体"/>
          <w:color w:val="auto"/>
          <w:szCs w:val="24"/>
          <w:highlight w:val="none"/>
        </w:rPr>
      </w:pPr>
    </w:p>
    <w:p>
      <w:pPr>
        <w:pStyle w:val="37"/>
        <w:ind w:firstLine="480"/>
        <w:rPr>
          <w:rFonts w:eastAsia="宋体" w:cs="宋体"/>
          <w:color w:val="auto"/>
          <w:szCs w:val="24"/>
          <w:highlight w:val="none"/>
        </w:rPr>
      </w:pPr>
    </w:p>
    <w:p>
      <w:pPr>
        <w:pStyle w:val="37"/>
        <w:ind w:firstLine="480"/>
        <w:rPr>
          <w:rFonts w:eastAsia="宋体" w:cs="宋体"/>
          <w:color w:val="auto"/>
          <w:szCs w:val="24"/>
          <w:highlight w:val="none"/>
        </w:rPr>
      </w:pPr>
    </w:p>
    <w:p>
      <w:pPr>
        <w:pStyle w:val="37"/>
        <w:ind w:firstLine="480"/>
        <w:rPr>
          <w:rFonts w:eastAsia="宋体" w:cs="宋体"/>
          <w:color w:val="auto"/>
          <w:szCs w:val="24"/>
          <w:highlight w:val="none"/>
        </w:rPr>
      </w:pPr>
    </w:p>
    <w:p>
      <w:pPr>
        <w:pStyle w:val="37"/>
        <w:ind w:firstLine="480"/>
        <w:rPr>
          <w:rFonts w:eastAsia="宋体" w:cs="宋体"/>
          <w:color w:val="auto"/>
          <w:szCs w:val="24"/>
          <w:highlight w:val="none"/>
        </w:rPr>
      </w:pPr>
    </w:p>
    <w:p>
      <w:pPr>
        <w:pStyle w:val="37"/>
        <w:ind w:firstLine="480"/>
        <w:rPr>
          <w:rFonts w:eastAsia="宋体" w:cs="宋体"/>
          <w:color w:val="auto"/>
          <w:szCs w:val="24"/>
          <w:highlight w:val="none"/>
        </w:rPr>
      </w:pPr>
    </w:p>
    <w:p>
      <w:pPr>
        <w:pStyle w:val="37"/>
        <w:ind w:firstLine="480"/>
        <w:rPr>
          <w:rFonts w:eastAsia="宋体" w:cs="宋体"/>
          <w:color w:val="auto"/>
          <w:szCs w:val="24"/>
          <w:highlight w:val="none"/>
        </w:rPr>
      </w:pPr>
    </w:p>
    <w:p>
      <w:pPr>
        <w:pStyle w:val="37"/>
        <w:ind w:left="0" w:leftChars="0" w:firstLine="0" w:firstLineChars="0"/>
        <w:rPr>
          <w:rFonts w:eastAsia="宋体" w:cs="宋体"/>
          <w:color w:val="auto"/>
          <w:szCs w:val="24"/>
          <w:highlight w:val="none"/>
        </w:rPr>
      </w:pPr>
    </w:p>
    <w:p>
      <w:pPr>
        <w:rPr>
          <w:highlight w:val="none"/>
        </w:rPr>
      </w:pPr>
    </w:p>
    <w:p>
      <w:pPr>
        <w:pStyle w:val="37"/>
        <w:ind w:firstLine="480"/>
        <w:rPr>
          <w:rFonts w:eastAsia="宋体" w:cs="宋体"/>
          <w:color w:val="auto"/>
          <w:szCs w:val="24"/>
          <w:highlight w:val="none"/>
        </w:rPr>
      </w:pPr>
    </w:p>
    <w:p>
      <w:pPr>
        <w:adjustRightInd w:val="0"/>
        <w:snapToGrid w:val="0"/>
        <w:spacing w:line="360" w:lineRule="auto"/>
        <w:jc w:val="both"/>
        <w:rPr>
          <w:rFonts w:hint="eastAsia" w:ascii="宋体" w:hAnsi="宋体" w:cs="宋体"/>
          <w:b/>
          <w:color w:val="auto"/>
          <w:spacing w:val="12"/>
          <w:sz w:val="32"/>
          <w:szCs w:val="32"/>
          <w:highlight w:val="none"/>
        </w:rPr>
      </w:pPr>
      <w:bookmarkStart w:id="35" w:name="_Toc66653219"/>
    </w:p>
    <w:p>
      <w:pPr>
        <w:adjustRightInd w:val="0"/>
        <w:snapToGrid w:val="0"/>
        <w:spacing w:line="360" w:lineRule="auto"/>
        <w:jc w:val="center"/>
        <w:rPr>
          <w:rFonts w:ascii="宋体" w:hAnsi="宋体" w:cs="宋体"/>
          <w:b/>
          <w:color w:val="auto"/>
          <w:spacing w:val="12"/>
          <w:sz w:val="32"/>
          <w:szCs w:val="32"/>
          <w:highlight w:val="none"/>
        </w:rPr>
      </w:pPr>
      <w:r>
        <w:rPr>
          <w:rFonts w:hint="eastAsia" w:ascii="宋体" w:hAnsi="宋体" w:cs="宋体"/>
          <w:b/>
          <w:color w:val="auto"/>
          <w:spacing w:val="12"/>
          <w:sz w:val="32"/>
          <w:szCs w:val="32"/>
          <w:highlight w:val="none"/>
        </w:rPr>
        <w:t>目    录</w:t>
      </w:r>
      <w:bookmarkEnd w:id="35"/>
    </w:p>
    <w:p>
      <w:pPr>
        <w:adjustRightInd w:val="0"/>
        <w:snapToGrid w:val="0"/>
        <w:spacing w:line="360" w:lineRule="auto"/>
        <w:jc w:val="center"/>
        <w:rPr>
          <w:rFonts w:ascii="宋体" w:hAnsi="宋体" w:cs="宋体"/>
          <w:b/>
          <w:color w:val="auto"/>
          <w:spacing w:val="12"/>
          <w:sz w:val="24"/>
          <w:szCs w:val="24"/>
          <w:highlight w:val="none"/>
        </w:rPr>
      </w:pPr>
    </w:p>
    <w:p>
      <w:pPr>
        <w:adjustRightInd w:val="0"/>
        <w:snapToGrid w:val="0"/>
        <w:spacing w:line="360" w:lineRule="auto"/>
        <w:ind w:firstLine="528" w:firstLineChars="200"/>
        <w:jc w:val="left"/>
        <w:rPr>
          <w:rFonts w:ascii="宋体" w:hAnsi="宋体" w:cs="宋体"/>
          <w:color w:val="auto"/>
          <w:spacing w:val="12"/>
          <w:sz w:val="24"/>
          <w:szCs w:val="24"/>
          <w:highlight w:val="none"/>
        </w:rPr>
      </w:pPr>
      <w:r>
        <w:rPr>
          <w:rFonts w:hint="eastAsia" w:ascii="宋体" w:hAnsi="宋体" w:cs="宋体"/>
          <w:bCs/>
          <w:snapToGrid w:val="0"/>
          <w:color w:val="auto"/>
          <w:spacing w:val="12"/>
          <w:kern w:val="0"/>
          <w:sz w:val="24"/>
          <w:szCs w:val="24"/>
          <w:highlight w:val="none"/>
        </w:rPr>
        <w:t>一、</w:t>
      </w:r>
      <w:r>
        <w:rPr>
          <w:rFonts w:hint="eastAsia" w:ascii="宋体" w:hAnsi="宋体" w:cs="宋体"/>
          <w:color w:val="auto"/>
          <w:spacing w:val="12"/>
          <w:sz w:val="24"/>
          <w:szCs w:val="24"/>
          <w:highlight w:val="none"/>
        </w:rPr>
        <w:t>法定代表人身份证明书或法定代表人授权委托书</w:t>
      </w:r>
    </w:p>
    <w:p>
      <w:pPr>
        <w:adjustRightInd w:val="0"/>
        <w:snapToGrid w:val="0"/>
        <w:spacing w:line="360" w:lineRule="auto"/>
        <w:ind w:firstLine="528" w:firstLineChars="200"/>
        <w:rPr>
          <w:rFonts w:hint="eastAsia" w:ascii="宋体" w:hAnsi="宋体" w:eastAsia="宋体" w:cs="宋体"/>
          <w:bCs/>
          <w:color w:val="auto"/>
          <w:spacing w:val="12"/>
          <w:sz w:val="24"/>
          <w:szCs w:val="24"/>
          <w:highlight w:val="none"/>
          <w:lang w:eastAsia="zh-CN"/>
        </w:rPr>
      </w:pPr>
      <w:r>
        <w:rPr>
          <w:rFonts w:hint="eastAsia" w:ascii="宋体" w:hAnsi="宋体" w:cs="宋体"/>
          <w:bCs/>
          <w:color w:val="auto"/>
          <w:spacing w:val="12"/>
          <w:sz w:val="24"/>
          <w:szCs w:val="24"/>
          <w:highlight w:val="none"/>
        </w:rPr>
        <w:t>二、</w:t>
      </w:r>
      <w:r>
        <w:rPr>
          <w:rFonts w:hint="eastAsia" w:ascii="宋体" w:hAnsi="宋体" w:eastAsia="宋体" w:cs="宋体"/>
          <w:bCs/>
          <w:color w:val="auto"/>
          <w:spacing w:val="12"/>
          <w:sz w:val="24"/>
          <w:szCs w:val="24"/>
          <w:highlight w:val="none"/>
          <w:lang w:eastAsia="zh-CN"/>
        </w:rPr>
        <w:t>磋商函</w:t>
      </w:r>
    </w:p>
    <w:p>
      <w:pPr>
        <w:adjustRightInd w:val="0"/>
        <w:snapToGrid w:val="0"/>
        <w:spacing w:line="360" w:lineRule="auto"/>
        <w:ind w:firstLine="528" w:firstLineChars="200"/>
        <w:rPr>
          <w:rFonts w:hint="default" w:ascii="宋体" w:hAnsi="宋体" w:eastAsia="宋体" w:cs="宋体"/>
          <w:bCs/>
          <w:color w:val="auto"/>
          <w:spacing w:val="12"/>
          <w:sz w:val="24"/>
          <w:szCs w:val="24"/>
          <w:highlight w:val="none"/>
          <w:lang w:val="en-US" w:eastAsia="zh-CN"/>
        </w:rPr>
      </w:pPr>
      <w:r>
        <w:rPr>
          <w:rFonts w:hint="eastAsia" w:ascii="宋体" w:hAnsi="宋体" w:eastAsia="宋体" w:cs="宋体"/>
          <w:bCs/>
          <w:color w:val="auto"/>
          <w:spacing w:val="12"/>
          <w:sz w:val="24"/>
          <w:szCs w:val="24"/>
          <w:highlight w:val="none"/>
          <w:lang w:val="en-US" w:eastAsia="zh-CN"/>
        </w:rPr>
        <w:t>三、报价表</w:t>
      </w:r>
    </w:p>
    <w:p>
      <w:pPr>
        <w:adjustRightInd w:val="0"/>
        <w:snapToGrid w:val="0"/>
        <w:spacing w:line="360" w:lineRule="auto"/>
        <w:ind w:firstLine="528" w:firstLineChars="200"/>
        <w:rPr>
          <w:rFonts w:ascii="宋体" w:hAnsi="宋体" w:cs="宋体"/>
          <w:bCs/>
          <w:color w:val="auto"/>
          <w:spacing w:val="12"/>
          <w:sz w:val="24"/>
          <w:szCs w:val="24"/>
          <w:highlight w:val="none"/>
        </w:rPr>
      </w:pPr>
      <w:r>
        <w:rPr>
          <w:rFonts w:hint="eastAsia" w:ascii="宋体" w:hAnsi="宋体" w:eastAsia="宋体" w:cs="宋体"/>
          <w:bCs/>
          <w:color w:val="auto"/>
          <w:spacing w:val="12"/>
          <w:sz w:val="24"/>
          <w:szCs w:val="24"/>
          <w:highlight w:val="none"/>
          <w:lang w:val="en-US" w:eastAsia="zh-CN"/>
        </w:rPr>
        <w:t>四</w:t>
      </w:r>
      <w:r>
        <w:rPr>
          <w:rFonts w:hint="eastAsia" w:ascii="宋体" w:hAnsi="宋体" w:cs="宋体"/>
          <w:bCs/>
          <w:color w:val="auto"/>
          <w:spacing w:val="12"/>
          <w:sz w:val="24"/>
          <w:szCs w:val="24"/>
          <w:highlight w:val="none"/>
        </w:rPr>
        <w:t>、供应商资质证明文件</w:t>
      </w:r>
    </w:p>
    <w:p>
      <w:pPr>
        <w:adjustRightInd w:val="0"/>
        <w:snapToGrid w:val="0"/>
        <w:spacing w:line="360" w:lineRule="auto"/>
        <w:ind w:firstLine="528" w:firstLineChars="200"/>
        <w:rPr>
          <w:rFonts w:hint="eastAsia" w:ascii="宋体" w:hAnsi="宋体" w:cs="宋体"/>
          <w:bCs/>
          <w:color w:val="auto"/>
          <w:spacing w:val="12"/>
          <w:sz w:val="24"/>
          <w:szCs w:val="24"/>
          <w:highlight w:val="none"/>
        </w:rPr>
      </w:pPr>
      <w:r>
        <w:rPr>
          <w:rFonts w:hint="eastAsia" w:ascii="宋体" w:hAnsi="宋体" w:eastAsia="宋体" w:cs="宋体"/>
          <w:bCs/>
          <w:color w:val="auto"/>
          <w:spacing w:val="12"/>
          <w:sz w:val="24"/>
          <w:szCs w:val="24"/>
          <w:highlight w:val="none"/>
          <w:lang w:val="en-US" w:eastAsia="zh-CN"/>
        </w:rPr>
        <w:t>五</w:t>
      </w:r>
      <w:r>
        <w:rPr>
          <w:rFonts w:hint="eastAsia" w:ascii="宋体" w:hAnsi="宋体" w:cs="宋体"/>
          <w:bCs/>
          <w:color w:val="auto"/>
          <w:spacing w:val="12"/>
          <w:sz w:val="24"/>
          <w:szCs w:val="24"/>
          <w:highlight w:val="none"/>
        </w:rPr>
        <w:t>、辅助资料</w:t>
      </w:r>
    </w:p>
    <w:p>
      <w:pPr>
        <w:adjustRightInd w:val="0"/>
        <w:snapToGrid w:val="0"/>
        <w:spacing w:line="360" w:lineRule="auto"/>
        <w:ind w:firstLine="528" w:firstLineChars="200"/>
        <w:rPr>
          <w:rFonts w:hint="default" w:ascii="宋体" w:hAnsi="宋体" w:eastAsia="宋体" w:cs="宋体"/>
          <w:bCs/>
          <w:color w:val="auto"/>
          <w:spacing w:val="12"/>
          <w:sz w:val="24"/>
          <w:szCs w:val="24"/>
          <w:highlight w:val="none"/>
          <w:lang w:val="en-US" w:eastAsia="zh-CN"/>
        </w:rPr>
      </w:pPr>
      <w:r>
        <w:rPr>
          <w:rFonts w:hint="eastAsia" w:ascii="宋体" w:hAnsi="宋体" w:eastAsia="宋体" w:cs="宋体"/>
          <w:bCs/>
          <w:color w:val="auto"/>
          <w:spacing w:val="12"/>
          <w:sz w:val="24"/>
          <w:szCs w:val="24"/>
          <w:highlight w:val="none"/>
          <w:lang w:val="en-US" w:eastAsia="zh-CN"/>
        </w:rPr>
        <w:t>六、投标偏离表</w:t>
      </w:r>
    </w:p>
    <w:p>
      <w:pPr>
        <w:adjustRightInd w:val="0"/>
        <w:snapToGrid w:val="0"/>
        <w:spacing w:line="360" w:lineRule="auto"/>
        <w:ind w:firstLine="528" w:firstLineChars="200"/>
        <w:rPr>
          <w:rFonts w:hint="eastAsia" w:ascii="宋体" w:hAnsi="宋体" w:eastAsia="宋体" w:cs="宋体"/>
          <w:bCs/>
          <w:color w:val="auto"/>
          <w:spacing w:val="12"/>
          <w:sz w:val="24"/>
          <w:szCs w:val="24"/>
          <w:highlight w:val="none"/>
          <w:lang w:eastAsia="zh-CN"/>
        </w:rPr>
      </w:pPr>
      <w:r>
        <w:rPr>
          <w:rFonts w:hint="eastAsia" w:ascii="宋体" w:hAnsi="宋体" w:eastAsia="宋体" w:cs="宋体"/>
          <w:bCs/>
          <w:color w:val="auto"/>
          <w:spacing w:val="12"/>
          <w:sz w:val="24"/>
          <w:szCs w:val="24"/>
          <w:highlight w:val="none"/>
          <w:lang w:val="en-US" w:eastAsia="zh-CN"/>
        </w:rPr>
        <w:t>七</w:t>
      </w:r>
      <w:r>
        <w:rPr>
          <w:rFonts w:hint="eastAsia" w:ascii="宋体" w:hAnsi="宋体" w:cs="宋体"/>
          <w:bCs/>
          <w:snapToGrid w:val="0"/>
          <w:color w:val="auto"/>
          <w:spacing w:val="12"/>
          <w:kern w:val="0"/>
          <w:sz w:val="24"/>
          <w:szCs w:val="24"/>
          <w:highlight w:val="none"/>
        </w:rPr>
        <w:t>、</w:t>
      </w:r>
      <w:r>
        <w:rPr>
          <w:rFonts w:hint="eastAsia" w:ascii="宋体" w:hAnsi="宋体" w:eastAsia="宋体" w:cs="宋体"/>
          <w:bCs/>
          <w:color w:val="auto"/>
          <w:spacing w:val="12"/>
          <w:sz w:val="24"/>
          <w:szCs w:val="24"/>
          <w:highlight w:val="none"/>
          <w:lang w:eastAsia="zh-CN"/>
        </w:rPr>
        <w:t>服务方案</w:t>
      </w:r>
    </w:p>
    <w:p>
      <w:pPr>
        <w:adjustRightInd w:val="0"/>
        <w:snapToGrid w:val="0"/>
        <w:spacing w:line="360" w:lineRule="auto"/>
        <w:ind w:firstLine="528" w:firstLineChars="200"/>
        <w:rPr>
          <w:rFonts w:ascii="宋体" w:hAnsi="宋体" w:eastAsia="宋体" w:cs="宋体"/>
          <w:bCs/>
          <w:color w:val="auto"/>
          <w:spacing w:val="12"/>
          <w:sz w:val="24"/>
          <w:szCs w:val="24"/>
          <w:highlight w:val="none"/>
        </w:rPr>
      </w:pPr>
      <w:r>
        <w:rPr>
          <w:rFonts w:hint="eastAsia" w:ascii="宋体" w:hAnsi="宋体" w:eastAsia="宋体" w:cs="宋体"/>
          <w:bCs/>
          <w:color w:val="auto"/>
          <w:spacing w:val="12"/>
          <w:sz w:val="24"/>
          <w:szCs w:val="24"/>
          <w:highlight w:val="none"/>
          <w:lang w:val="en-US" w:eastAsia="zh-CN"/>
        </w:rPr>
        <w:t>八</w:t>
      </w:r>
      <w:r>
        <w:rPr>
          <w:rFonts w:hint="eastAsia" w:ascii="宋体" w:hAnsi="宋体" w:cs="宋体"/>
          <w:bCs/>
          <w:color w:val="auto"/>
          <w:spacing w:val="12"/>
          <w:sz w:val="24"/>
          <w:szCs w:val="24"/>
          <w:highlight w:val="none"/>
        </w:rPr>
        <w:t>、</w:t>
      </w:r>
      <w:r>
        <w:rPr>
          <w:rFonts w:hint="eastAsia" w:ascii="宋体" w:hAnsi="宋体" w:cs="宋体"/>
          <w:bCs/>
          <w:snapToGrid w:val="0"/>
          <w:color w:val="auto"/>
          <w:spacing w:val="12"/>
          <w:kern w:val="0"/>
          <w:sz w:val="24"/>
          <w:szCs w:val="24"/>
          <w:highlight w:val="none"/>
        </w:rPr>
        <w:t>供应商认为有必要提供的其</w:t>
      </w:r>
      <w:r>
        <w:rPr>
          <w:rFonts w:hint="eastAsia" w:ascii="宋体" w:hAnsi="宋体" w:eastAsia="宋体" w:cs="宋体"/>
          <w:bCs/>
          <w:snapToGrid w:val="0"/>
          <w:color w:val="auto"/>
          <w:spacing w:val="12"/>
          <w:kern w:val="0"/>
          <w:sz w:val="24"/>
          <w:szCs w:val="24"/>
          <w:highlight w:val="none"/>
          <w:lang w:val="en-US" w:eastAsia="zh-CN"/>
        </w:rPr>
        <w:t>他</w:t>
      </w:r>
      <w:r>
        <w:rPr>
          <w:rFonts w:hint="eastAsia" w:ascii="宋体" w:hAnsi="宋体" w:cs="宋体"/>
          <w:bCs/>
          <w:snapToGrid w:val="0"/>
          <w:color w:val="auto"/>
          <w:spacing w:val="12"/>
          <w:kern w:val="0"/>
          <w:sz w:val="24"/>
          <w:szCs w:val="24"/>
          <w:highlight w:val="none"/>
        </w:rPr>
        <w:t>资料</w:t>
      </w:r>
    </w:p>
    <w:p>
      <w:pPr>
        <w:adjustRightInd w:val="0"/>
        <w:snapToGrid w:val="0"/>
        <w:spacing w:line="360" w:lineRule="auto"/>
        <w:ind w:firstLine="1259" w:firstLineChars="477"/>
        <w:rPr>
          <w:rFonts w:ascii="宋体" w:hAnsi="宋体" w:cs="宋体"/>
          <w:bCs/>
          <w:snapToGrid w:val="0"/>
          <w:color w:val="auto"/>
          <w:spacing w:val="12"/>
          <w:kern w:val="0"/>
          <w:sz w:val="24"/>
          <w:szCs w:val="24"/>
          <w:highlight w:val="none"/>
        </w:rPr>
      </w:pPr>
    </w:p>
    <w:p>
      <w:pPr>
        <w:adjustRightInd w:val="0"/>
        <w:snapToGrid w:val="0"/>
        <w:spacing w:line="360" w:lineRule="auto"/>
        <w:ind w:firstLine="778" w:firstLineChars="295"/>
        <w:jc w:val="center"/>
        <w:rPr>
          <w:rFonts w:ascii="宋体" w:hAnsi="宋体" w:cs="宋体"/>
          <w:b/>
          <w:color w:val="auto"/>
          <w:sz w:val="24"/>
          <w:szCs w:val="24"/>
          <w:highlight w:val="none"/>
        </w:rPr>
      </w:pPr>
      <w:r>
        <w:rPr>
          <w:rFonts w:hint="eastAsia" w:ascii="宋体" w:hAnsi="宋体" w:cs="宋体"/>
          <w:bCs/>
          <w:color w:val="auto"/>
          <w:spacing w:val="12"/>
          <w:sz w:val="24"/>
          <w:szCs w:val="24"/>
          <w:highlight w:val="none"/>
        </w:rPr>
        <w:br w:type="page"/>
      </w:r>
      <w:bookmarkStart w:id="36" w:name="_Toc66798265"/>
      <w:bookmarkStart w:id="37" w:name="_Toc66805780"/>
      <w:bookmarkStart w:id="38" w:name="_Toc66805995"/>
      <w:r>
        <w:rPr>
          <w:rFonts w:hint="eastAsia" w:ascii="宋体" w:hAnsi="宋体" w:cs="宋体"/>
          <w:b/>
          <w:color w:val="auto"/>
          <w:sz w:val="24"/>
          <w:szCs w:val="24"/>
          <w:highlight w:val="none"/>
        </w:rPr>
        <w:t>一、法定代表人</w:t>
      </w:r>
      <w:bookmarkEnd w:id="36"/>
      <w:bookmarkEnd w:id="37"/>
      <w:bookmarkEnd w:id="38"/>
      <w:r>
        <w:rPr>
          <w:rFonts w:hint="eastAsia" w:ascii="宋体" w:hAnsi="宋体" w:cs="宋体"/>
          <w:b/>
          <w:color w:val="auto"/>
          <w:sz w:val="24"/>
          <w:szCs w:val="24"/>
          <w:highlight w:val="none"/>
        </w:rPr>
        <w:t>身份证明书</w:t>
      </w:r>
    </w:p>
    <w:p>
      <w:pPr>
        <w:tabs>
          <w:tab w:val="left" w:pos="360"/>
          <w:tab w:val="left" w:pos="720"/>
          <w:tab w:val="left" w:pos="2310"/>
        </w:tabs>
        <w:spacing w:line="360" w:lineRule="auto"/>
        <w:ind w:firstLine="480" w:firstLineChars="200"/>
        <w:rPr>
          <w:rFonts w:ascii="宋体" w:hAnsi="宋体" w:cs="宋体"/>
          <w:color w:val="auto"/>
          <w:sz w:val="24"/>
          <w:szCs w:val="24"/>
          <w:highlight w:val="none"/>
        </w:rPr>
      </w:pPr>
    </w:p>
    <w:p>
      <w:pPr>
        <w:tabs>
          <w:tab w:val="left" w:pos="360"/>
          <w:tab w:val="left" w:pos="720"/>
          <w:tab w:val="left" w:pos="231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公司成立时间： </w:t>
      </w:r>
      <w:r>
        <w:rPr>
          <w:rFonts w:hint="eastAsia" w:ascii="宋体" w:hAnsi="宋体" w:cs="宋体"/>
          <w:color w:val="auto"/>
          <w:sz w:val="24"/>
          <w:szCs w:val="24"/>
          <w:highlight w:val="none"/>
          <w:u w:val="single"/>
        </w:rPr>
        <w:t xml:space="preserve">        年    月    日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经营期限：    </w:t>
      </w:r>
      <w:r>
        <w:rPr>
          <w:rFonts w:hint="eastAsia" w:ascii="宋体" w:hAnsi="宋体" w:cs="宋体"/>
          <w:color w:val="auto"/>
          <w:sz w:val="24"/>
          <w:szCs w:val="24"/>
          <w:highlight w:val="none"/>
          <w:u w:val="single"/>
        </w:rPr>
        <w:t xml:space="preserve">     年    月    日     至     年     月     日</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  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龄：</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（供应商名称）的法定代表人。负责</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的投标、进行合同</w:t>
      </w:r>
      <w:r>
        <w:rPr>
          <w:rFonts w:hint="eastAsia" w:ascii="宋体" w:hAnsi="宋体" w:eastAsia="宋体" w:cs="宋体"/>
          <w:color w:val="auto"/>
          <w:sz w:val="24"/>
          <w:szCs w:val="24"/>
          <w:highlight w:val="none"/>
          <w:lang w:eastAsia="zh-CN"/>
        </w:rPr>
        <w:t>磋商</w:t>
      </w:r>
      <w:r>
        <w:rPr>
          <w:rFonts w:hint="eastAsia" w:ascii="宋体" w:hAnsi="宋体" w:cs="宋体"/>
          <w:color w:val="auto"/>
          <w:sz w:val="24"/>
          <w:szCs w:val="24"/>
          <w:highlight w:val="none"/>
        </w:rPr>
        <w:t>、签署合同和处理与之有关的一切事务。</w:t>
      </w:r>
    </w:p>
    <w:p>
      <w:pPr>
        <w:tabs>
          <w:tab w:val="left" w:pos="360"/>
          <w:tab w:val="left" w:pos="720"/>
        </w:tabs>
        <w:spacing w:line="360" w:lineRule="auto"/>
        <w:rPr>
          <w:rFonts w:ascii="宋体" w:hAnsi="宋体" w:cs="宋体"/>
          <w:color w:val="auto"/>
          <w:sz w:val="24"/>
          <w:szCs w:val="24"/>
          <w:highlight w:val="none"/>
        </w:rPr>
      </w:pP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eastAsia="宋体" w:cs="宋体"/>
          <w:color w:val="auto"/>
          <w:sz w:val="24"/>
          <w:szCs w:val="24"/>
          <w:highlight w:val="none"/>
          <w:lang w:eastAsia="zh-CN"/>
        </w:rPr>
        <w:t>或盖章</w:t>
      </w:r>
      <w:r>
        <w:rPr>
          <w:rFonts w:hint="eastAsia" w:ascii="宋体" w:hAnsi="宋体" w:cs="宋体"/>
          <w:color w:val="auto"/>
          <w:sz w:val="24"/>
          <w:szCs w:val="24"/>
          <w:highlight w:val="none"/>
        </w:rPr>
        <w:t>）</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邮政编码：</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    真：</w:t>
      </w:r>
    </w:p>
    <w:p>
      <w:pPr>
        <w:tabs>
          <w:tab w:val="left" w:pos="360"/>
          <w:tab w:val="left" w:pos="720"/>
        </w:tabs>
        <w:spacing w:line="360" w:lineRule="auto"/>
        <w:ind w:firstLine="7200" w:firstLineChars="30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eastAsia="宋体" w:cs="宋体"/>
          <w:color w:val="auto"/>
          <w:sz w:val="24"/>
          <w:szCs w:val="24"/>
          <w:highlight w:val="none"/>
          <w:lang w:val="en-US" w:eastAsia="zh-CN"/>
        </w:rPr>
        <w:t>盖章</w:t>
      </w:r>
      <w:r>
        <w:rPr>
          <w:rFonts w:hint="eastAsia" w:ascii="宋体" w:hAnsi="宋体" w:cs="宋体"/>
          <w:color w:val="auto"/>
          <w:sz w:val="24"/>
          <w:szCs w:val="24"/>
          <w:highlight w:val="non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rPr>
      </w:pPr>
    </w:p>
    <w:p>
      <w:pPr>
        <w:adjustRightInd w:val="0"/>
        <w:snapToGrid w:val="0"/>
        <w:spacing w:line="480" w:lineRule="exact"/>
        <w:ind w:right="28"/>
        <w:jc w:val="center"/>
        <w:rPr>
          <w:rFonts w:ascii="宋体" w:hAnsi="宋体" w:cs="宋体"/>
          <w:b/>
          <w:color w:val="auto"/>
          <w:sz w:val="24"/>
          <w:szCs w:val="24"/>
          <w:highlight w:val="none"/>
        </w:rPr>
      </w:pPr>
      <w:r>
        <w:rPr>
          <w:rFonts w:hint="eastAsia" w:ascii="宋体" w:hAnsi="宋体" w:cs="宋体"/>
          <w:color w:val="auto"/>
          <w:sz w:val="24"/>
          <w:szCs w:val="24"/>
          <w:highlight w:val="none"/>
        </w:rPr>
        <w:t xml:space="preserve">                             日期：     年   月   日</w:t>
      </w:r>
    </w:p>
    <w:p>
      <w:pPr>
        <w:adjustRightInd w:val="0"/>
        <w:snapToGrid w:val="0"/>
        <w:spacing w:line="360" w:lineRule="auto"/>
        <w:ind w:firstLine="1201" w:firstLineChars="500"/>
        <w:rPr>
          <w:rFonts w:ascii="宋体" w:hAnsi="宋体" w:cs="宋体"/>
          <w:b/>
          <w:bCs/>
          <w:color w:val="auto"/>
          <w:sz w:val="24"/>
          <w:szCs w:val="24"/>
          <w:highlight w:val="none"/>
        </w:rPr>
      </w:pPr>
    </w:p>
    <w:p>
      <w:pPr>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p>
    <w:tbl>
      <w:tblPr>
        <w:tblStyle w:val="20"/>
        <w:tblW w:w="486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ind w:firstLine="353" w:firstLineChars="147"/>
              <w:rPr>
                <w:rFonts w:ascii="宋体" w:hAnsi="宋体" w:cs="宋体"/>
                <w:color w:val="auto"/>
                <w:spacing w:val="12"/>
                <w:sz w:val="24"/>
                <w:szCs w:val="24"/>
                <w:highlight w:val="none"/>
              </w:rPr>
            </w:pPr>
            <w:r>
              <w:rPr>
                <w:rFonts w:hint="eastAsia" w:ascii="宋体" w:hAnsi="宋体" w:cs="宋体"/>
                <w:b/>
                <w:color w:val="auto"/>
                <w:sz w:val="24"/>
                <w:szCs w:val="24"/>
                <w:highlight w:val="none"/>
              </w:rPr>
              <w:t>附法定代表人身份证正反面复印件</w:t>
            </w:r>
          </w:p>
          <w:p>
            <w:pPr>
              <w:adjustRightInd w:val="0"/>
              <w:snapToGrid w:val="0"/>
              <w:spacing w:line="360" w:lineRule="auto"/>
              <w:rPr>
                <w:rFonts w:ascii="宋体" w:hAnsi="宋体" w:cs="宋体"/>
                <w:color w:val="auto"/>
                <w:spacing w:val="12"/>
                <w:sz w:val="24"/>
                <w:szCs w:val="24"/>
                <w:highlight w:val="none"/>
              </w:rPr>
            </w:pPr>
          </w:p>
        </w:tc>
      </w:tr>
    </w:tbl>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bCs/>
          <w:color w:val="auto"/>
          <w:spacing w:val="12"/>
          <w:sz w:val="24"/>
          <w:szCs w:val="24"/>
          <w:highlight w:val="none"/>
        </w:rPr>
      </w:pPr>
      <w:r>
        <w:rPr>
          <w:rFonts w:hint="eastAsia" w:ascii="宋体" w:hAnsi="宋体" w:cs="宋体"/>
          <w:b/>
          <w:color w:val="auto"/>
          <w:sz w:val="24"/>
          <w:szCs w:val="24"/>
          <w:highlight w:val="none"/>
        </w:rPr>
        <w:t>说明：身份证复印件本页放不下，可另附页，但必须加盖投标单位公章</w:t>
      </w:r>
    </w:p>
    <w:p>
      <w:pPr>
        <w:adjustRightInd w:val="0"/>
        <w:snapToGrid w:val="0"/>
        <w:spacing w:line="360" w:lineRule="auto"/>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一、法定代表人授权委托书</w:t>
      </w:r>
    </w:p>
    <w:p>
      <w:pPr>
        <w:spacing w:line="360" w:lineRule="auto"/>
        <w:rPr>
          <w:rFonts w:ascii="宋体" w:hAnsi="宋体" w:cs="宋体"/>
          <w:color w:val="auto"/>
          <w:sz w:val="24"/>
          <w:szCs w:val="24"/>
          <w:highlight w:val="none"/>
        </w:rPr>
      </w:pPr>
    </w:p>
    <w:p>
      <w:pPr>
        <w:adjustRightInd w:val="0"/>
        <w:snapToGrid w:val="0"/>
        <w:spacing w:line="360" w:lineRule="auto"/>
        <w:ind w:firstLine="525"/>
        <w:rPr>
          <w:rFonts w:ascii="宋体" w:hAnsi="宋体" w:cs="宋体"/>
          <w:color w:val="auto"/>
          <w:sz w:val="24"/>
          <w:szCs w:val="24"/>
          <w:highlight w:val="none"/>
        </w:rPr>
      </w:pPr>
      <w:r>
        <w:rPr>
          <w:rFonts w:hint="eastAsia" w:ascii="宋体" w:hAnsi="宋体" w:cs="宋体"/>
          <w:color w:val="auto"/>
          <w:spacing w:val="12"/>
          <w:sz w:val="24"/>
          <w:szCs w:val="24"/>
          <w:highlight w:val="none"/>
        </w:rPr>
        <w:t>本授权书声明：</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（姓名）系</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（供应商名称）的法定代表人，现授权委托</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（单位名称）的</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（姓名）为我公司代理人，以本公司的名义参加</w:t>
      </w:r>
      <w:r>
        <w:rPr>
          <w:rFonts w:hint="eastAsia" w:ascii="宋体" w:hAnsi="宋体" w:cs="宋体"/>
          <w:color w:val="auto"/>
          <w:spacing w:val="12"/>
          <w:sz w:val="24"/>
          <w:szCs w:val="24"/>
          <w:highlight w:val="none"/>
          <w:u w:val="single"/>
        </w:rPr>
        <w:t xml:space="preserve">         （项目名称）</w:t>
      </w:r>
      <w:r>
        <w:rPr>
          <w:rFonts w:hint="eastAsia" w:ascii="宋体" w:hAnsi="宋体" w:cs="宋体"/>
          <w:color w:val="auto"/>
          <w:spacing w:val="12"/>
          <w:sz w:val="24"/>
          <w:szCs w:val="24"/>
          <w:highlight w:val="none"/>
        </w:rPr>
        <w:t>的</w:t>
      </w:r>
      <w:r>
        <w:rPr>
          <w:rFonts w:hint="eastAsia" w:ascii="宋体" w:hAnsi="宋体" w:cs="宋体"/>
          <w:color w:val="auto"/>
          <w:sz w:val="24"/>
          <w:szCs w:val="24"/>
          <w:highlight w:val="none"/>
        </w:rPr>
        <w:t>投标活动。代理人在开标、评标、合同</w:t>
      </w:r>
      <w:r>
        <w:rPr>
          <w:rFonts w:hint="eastAsia" w:ascii="宋体" w:hAnsi="宋体" w:eastAsia="宋体" w:cs="宋体"/>
          <w:color w:val="auto"/>
          <w:sz w:val="24"/>
          <w:szCs w:val="24"/>
          <w:highlight w:val="none"/>
          <w:lang w:eastAsia="zh-CN"/>
        </w:rPr>
        <w:t>磋商</w:t>
      </w:r>
      <w:r>
        <w:rPr>
          <w:rFonts w:hint="eastAsia" w:ascii="宋体" w:hAnsi="宋体" w:cs="宋体"/>
          <w:color w:val="auto"/>
          <w:sz w:val="24"/>
          <w:szCs w:val="24"/>
          <w:highlight w:val="none"/>
        </w:rPr>
        <w:t>过程中所签署的一切文件和处理与之有关的一切事务，我均予以承认。</w:t>
      </w:r>
    </w:p>
    <w:p>
      <w:pPr>
        <w:adjustRightInd w:val="0"/>
        <w:snapToGrid w:val="0"/>
        <w:spacing w:line="360" w:lineRule="auto"/>
        <w:ind w:firstLine="525"/>
        <w:rPr>
          <w:rFonts w:ascii="宋体" w:hAnsi="宋体" w:cs="宋体"/>
          <w:color w:val="auto"/>
          <w:spacing w:val="12"/>
          <w:sz w:val="24"/>
          <w:szCs w:val="24"/>
          <w:highlight w:val="none"/>
        </w:rPr>
      </w:pPr>
      <w:r>
        <w:rPr>
          <w:rFonts w:hint="eastAsia" w:ascii="宋体" w:hAnsi="宋体" w:cs="宋体"/>
          <w:color w:val="auto"/>
          <w:sz w:val="24"/>
          <w:szCs w:val="24"/>
          <w:highlight w:val="none"/>
        </w:rPr>
        <w:t>代理人无转委托权。特此委托。</w:t>
      </w: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代理人：</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性别：</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年龄：</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身份证号：</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单位：</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hint="eastAsia"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部门：</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职务：</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hint="default" w:ascii="宋体" w:hAnsi="宋体" w:eastAsia="宋体" w:cs="宋体"/>
          <w:color w:val="auto"/>
          <w:spacing w:val="12"/>
          <w:sz w:val="24"/>
          <w:szCs w:val="24"/>
          <w:highlight w:val="none"/>
          <w:u w:val="single"/>
          <w:lang w:val="en-US" w:eastAsia="zh-CN"/>
        </w:rPr>
      </w:pPr>
      <w:r>
        <w:rPr>
          <w:rFonts w:hint="eastAsia" w:ascii="宋体" w:hAnsi="宋体" w:eastAsia="宋体" w:cs="宋体"/>
          <w:color w:val="auto"/>
          <w:spacing w:val="12"/>
          <w:sz w:val="24"/>
          <w:szCs w:val="24"/>
          <w:highlight w:val="none"/>
          <w:u w:val="none"/>
          <w:lang w:val="en-US" w:eastAsia="zh-CN"/>
        </w:rPr>
        <w:t xml:space="preserve">联系电话： </w:t>
      </w:r>
      <w:r>
        <w:rPr>
          <w:rFonts w:hint="eastAsia" w:ascii="宋体" w:hAnsi="宋体" w:eastAsia="宋体" w:cs="宋体"/>
          <w:color w:val="auto"/>
          <w:spacing w:val="12"/>
          <w:sz w:val="24"/>
          <w:szCs w:val="24"/>
          <w:highlight w:val="none"/>
          <w:u w:val="single"/>
          <w:lang w:val="en-US" w:eastAsia="zh-CN"/>
        </w:rPr>
        <w:t xml:space="preserve">                      </w:t>
      </w:r>
    </w:p>
    <w:p>
      <w:pPr>
        <w:adjustRightInd w:val="0"/>
        <w:snapToGrid w:val="0"/>
        <w:spacing w:line="360" w:lineRule="auto"/>
        <w:ind w:firstLine="528" w:firstLineChars="200"/>
        <w:rPr>
          <w:rFonts w:ascii="宋体" w:hAnsi="宋体" w:cs="宋体"/>
          <w:color w:val="auto"/>
          <w:spacing w:val="12"/>
          <w:sz w:val="24"/>
          <w:szCs w:val="24"/>
          <w:highlight w:val="none"/>
        </w:rPr>
      </w:pPr>
    </w:p>
    <w:p>
      <w:pPr>
        <w:adjustRightInd w:val="0"/>
        <w:snapToGrid w:val="0"/>
        <w:spacing w:line="360" w:lineRule="auto"/>
        <w:ind w:firstLine="528" w:firstLineChars="200"/>
        <w:rPr>
          <w:rFonts w:ascii="宋体" w:hAnsi="宋体" w:cs="宋体"/>
          <w:color w:val="auto"/>
          <w:spacing w:val="12"/>
          <w:sz w:val="24"/>
          <w:szCs w:val="24"/>
          <w:highlight w:val="none"/>
        </w:rPr>
      </w:pP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供应商：</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w:t>
      </w:r>
      <w:r>
        <w:rPr>
          <w:rFonts w:hint="eastAsia" w:ascii="宋体" w:hAnsi="宋体" w:eastAsia="宋体" w:cs="宋体"/>
          <w:color w:val="auto"/>
          <w:spacing w:val="12"/>
          <w:sz w:val="24"/>
          <w:szCs w:val="24"/>
          <w:highlight w:val="none"/>
          <w:lang w:val="en-US" w:eastAsia="zh-CN"/>
        </w:rPr>
        <w:t>盖章</w:t>
      </w:r>
      <w:r>
        <w:rPr>
          <w:rFonts w:hint="eastAsia" w:ascii="宋体" w:hAnsi="宋体" w:cs="宋体"/>
          <w:color w:val="auto"/>
          <w:spacing w:val="12"/>
          <w:sz w:val="24"/>
          <w:szCs w:val="24"/>
          <w:highlight w:val="non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法定代表人：</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（签字</w:t>
      </w:r>
      <w:r>
        <w:rPr>
          <w:rFonts w:hint="eastAsia" w:ascii="宋体" w:hAnsi="宋体" w:eastAsia="宋体" w:cs="宋体"/>
          <w:color w:val="auto"/>
          <w:spacing w:val="12"/>
          <w:sz w:val="24"/>
          <w:szCs w:val="24"/>
          <w:highlight w:val="none"/>
          <w:lang w:eastAsia="zh-CN"/>
        </w:rPr>
        <w:t>或盖章</w:t>
      </w:r>
      <w:r>
        <w:rPr>
          <w:rFonts w:hint="eastAsia" w:ascii="宋体" w:hAnsi="宋体" w:cs="宋体"/>
          <w:color w:val="auto"/>
          <w:spacing w:val="12"/>
          <w:sz w:val="24"/>
          <w:szCs w:val="24"/>
          <w:highlight w:val="none"/>
        </w:rPr>
        <w:t>）</w:t>
      </w: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    月    日</w:t>
      </w:r>
    </w:p>
    <w:p>
      <w:pPr>
        <w:adjustRightInd w:val="0"/>
        <w:snapToGrid w:val="0"/>
        <w:spacing w:line="360" w:lineRule="auto"/>
        <w:ind w:firstLine="512" w:firstLineChars="200"/>
        <w:rPr>
          <w:rFonts w:ascii="宋体" w:hAnsi="宋体" w:cs="宋体"/>
          <w:b/>
          <w:color w:val="auto"/>
          <w:spacing w:val="8"/>
          <w:sz w:val="24"/>
          <w:szCs w:val="24"/>
          <w:highlight w:val="none"/>
        </w:rPr>
      </w:pPr>
    </w:p>
    <w:p>
      <w:pPr>
        <w:adjustRightInd w:val="0"/>
        <w:snapToGrid w:val="0"/>
        <w:spacing w:line="360" w:lineRule="auto"/>
        <w:ind w:firstLine="528" w:firstLineChars="200"/>
        <w:rPr>
          <w:rFonts w:ascii="宋体" w:hAnsi="宋体" w:cs="宋体"/>
          <w:b/>
          <w:color w:val="auto"/>
          <w:spacing w:val="12"/>
          <w:sz w:val="24"/>
          <w:szCs w:val="24"/>
          <w:highlight w:val="none"/>
          <w:u w:val="single"/>
        </w:rPr>
      </w:pPr>
    </w:p>
    <w:tbl>
      <w:tblPr>
        <w:tblStyle w:val="20"/>
        <w:tblW w:w="486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b/>
                <w:color w:val="auto"/>
                <w:sz w:val="24"/>
                <w:szCs w:val="24"/>
                <w:highlight w:val="none"/>
              </w:rPr>
              <w:t>附法定代表人身份证</w:t>
            </w:r>
            <w:r>
              <w:rPr>
                <w:rFonts w:hint="eastAsia" w:ascii="宋体" w:hAnsi="宋体" w:eastAsia="宋体" w:cs="宋体"/>
                <w:b/>
                <w:color w:val="auto"/>
                <w:sz w:val="24"/>
                <w:szCs w:val="24"/>
                <w:highlight w:val="none"/>
                <w:lang w:eastAsia="zh-CN"/>
              </w:rPr>
              <w:t>及</w:t>
            </w:r>
            <w:r>
              <w:rPr>
                <w:rFonts w:hint="eastAsia" w:ascii="宋体" w:hAnsi="宋体" w:cs="宋体"/>
                <w:b/>
                <w:color w:val="auto"/>
                <w:sz w:val="24"/>
                <w:szCs w:val="24"/>
                <w:highlight w:val="none"/>
              </w:rPr>
              <w:t>授权委托人身份证正反面复印件</w:t>
            </w:r>
          </w:p>
          <w:p>
            <w:pPr>
              <w:adjustRightInd w:val="0"/>
              <w:snapToGrid w:val="0"/>
              <w:spacing w:line="360" w:lineRule="auto"/>
              <w:rPr>
                <w:rFonts w:ascii="宋体" w:hAnsi="宋体" w:cs="宋体"/>
                <w:color w:val="auto"/>
                <w:spacing w:val="12"/>
                <w:sz w:val="24"/>
                <w:szCs w:val="24"/>
                <w:highlight w:val="none"/>
              </w:rPr>
            </w:pPr>
          </w:p>
        </w:tc>
      </w:tr>
    </w:tbl>
    <w:p>
      <w:pPr>
        <w:adjustRightInd w:val="0"/>
        <w:snapToGrid w:val="0"/>
        <w:spacing w:line="360" w:lineRule="auto"/>
        <w:jc w:val="center"/>
        <w:rPr>
          <w:rFonts w:ascii="宋体" w:hAnsi="宋体" w:cs="宋体"/>
          <w:b/>
          <w:color w:val="auto"/>
          <w:sz w:val="24"/>
          <w:szCs w:val="24"/>
          <w:highlight w:val="none"/>
        </w:rPr>
      </w:pPr>
      <w:bookmarkStart w:id="39" w:name="_Toc66805996"/>
      <w:bookmarkStart w:id="40" w:name="_Toc66798266"/>
      <w:bookmarkStart w:id="41" w:name="_Toc66805781"/>
    </w:p>
    <w:p>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说明：身份证复印件本页放不下，可另附页，但必须加盖投标单位公章</w:t>
      </w:r>
      <w:r>
        <w:rPr>
          <w:rFonts w:hint="eastAsia" w:ascii="宋体" w:hAnsi="宋体" w:cs="宋体"/>
          <w:b/>
          <w:color w:val="auto"/>
          <w:sz w:val="24"/>
          <w:szCs w:val="24"/>
          <w:highlight w:val="none"/>
        </w:rPr>
        <w:br w:type="page"/>
      </w:r>
      <w:bookmarkEnd w:id="39"/>
      <w:bookmarkEnd w:id="40"/>
      <w:bookmarkEnd w:id="41"/>
      <w:bookmarkStart w:id="42" w:name="_Toc66798267"/>
      <w:r>
        <w:rPr>
          <w:rFonts w:hint="eastAsia" w:ascii="宋体" w:hAnsi="宋体" w:cs="宋体"/>
          <w:b/>
          <w:color w:val="auto"/>
          <w:sz w:val="24"/>
          <w:szCs w:val="24"/>
          <w:highlight w:val="none"/>
        </w:rPr>
        <w:t>二、</w:t>
      </w:r>
      <w:r>
        <w:rPr>
          <w:rFonts w:hint="eastAsia" w:ascii="宋体" w:hAnsi="宋体" w:eastAsia="宋体" w:cs="宋体"/>
          <w:b/>
          <w:color w:val="auto"/>
          <w:sz w:val="24"/>
          <w:szCs w:val="24"/>
          <w:highlight w:val="none"/>
          <w:lang w:eastAsia="zh-CN"/>
        </w:rPr>
        <w:t>磋商函</w:t>
      </w:r>
    </w:p>
    <w:bookmarkEnd w:id="42"/>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z w:val="24"/>
          <w:szCs w:val="24"/>
          <w:highlight w:val="none"/>
          <w:u w:val="single"/>
        </w:rPr>
        <w:t xml:space="preserve">              （采购人名称）</w:t>
      </w:r>
      <w:r>
        <w:rPr>
          <w:rFonts w:hint="eastAsia" w:ascii="宋体" w:hAnsi="宋体" w:cs="宋体"/>
          <w:color w:val="auto"/>
          <w:sz w:val="24"/>
          <w:szCs w:val="24"/>
          <w:highlight w:val="none"/>
        </w:rPr>
        <w:t>：</w:t>
      </w:r>
    </w:p>
    <w:p>
      <w:pPr>
        <w:spacing w:line="360" w:lineRule="auto"/>
        <w:rPr>
          <w:rFonts w:ascii="宋体" w:hAnsi="宋体" w:cs="宋体"/>
          <w:color w:val="auto"/>
          <w:sz w:val="24"/>
          <w:szCs w:val="24"/>
          <w:highlight w:val="none"/>
        </w:rPr>
      </w:pP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我们收到贵方招标编号为：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号的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（项目名称）采购文件，经详细研究上述项目采购文件的内容后，我方接受并承认采购文件中的所有条款，并做出如下承诺：</w:t>
      </w:r>
    </w:p>
    <w:p>
      <w:pPr>
        <w:numPr>
          <w:ilvl w:val="0"/>
          <w:numId w:val="3"/>
        </w:numPr>
        <w:adjustRightInd w:val="0"/>
        <w:snapToGrid w:val="0"/>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rPr>
        <w:t>我方承认和愿意按照采购文件中的各项规定和要求，</w:t>
      </w:r>
      <w:r>
        <w:rPr>
          <w:rFonts w:hint="eastAsia" w:ascii="宋体" w:hAnsi="宋体" w:eastAsia="宋体" w:cs="宋体"/>
          <w:color w:val="auto"/>
          <w:sz w:val="24"/>
          <w:szCs w:val="24"/>
          <w:highlight w:val="none"/>
          <w:u w:val="single"/>
          <w:lang w:val="en-US" w:eastAsia="zh-CN"/>
        </w:rPr>
        <w:t xml:space="preserve">      元 </w:t>
      </w:r>
      <w:r>
        <w:rPr>
          <w:rFonts w:hint="eastAsia" w:ascii="宋体" w:hAnsi="宋体" w:eastAsia="宋体" w:cs="宋体"/>
          <w:color w:val="auto"/>
          <w:sz w:val="24"/>
          <w:szCs w:val="24"/>
          <w:highlight w:val="none"/>
          <w:u w:val="none"/>
          <w:lang w:val="en-US" w:eastAsia="zh-CN"/>
        </w:rPr>
        <w:t>的</w:t>
      </w:r>
      <w:r>
        <w:rPr>
          <w:rFonts w:hint="eastAsia" w:ascii="宋体" w:hAnsi="宋体" w:cs="宋体"/>
          <w:color w:val="auto"/>
          <w:sz w:val="24"/>
          <w:szCs w:val="24"/>
          <w:highlight w:val="none"/>
        </w:rPr>
        <w:t>投标</w:t>
      </w:r>
      <w:r>
        <w:rPr>
          <w:rFonts w:hint="eastAsia" w:ascii="宋体" w:hAnsi="宋体" w:eastAsia="宋体" w:cs="宋体"/>
          <w:color w:val="auto"/>
          <w:sz w:val="24"/>
          <w:szCs w:val="24"/>
          <w:highlight w:val="none"/>
          <w:lang w:eastAsia="zh-CN"/>
        </w:rPr>
        <w:t>总价</w:t>
      </w:r>
      <w:r>
        <w:rPr>
          <w:rFonts w:hint="eastAsia" w:ascii="宋体" w:hAnsi="宋体" w:cs="宋体"/>
          <w:color w:val="auto"/>
          <w:sz w:val="24"/>
          <w:szCs w:val="24"/>
          <w:highlight w:val="none"/>
        </w:rPr>
        <w:t>，按上述合同条件、技术规范的条件承包本项目。一旦我方中标，我方保证在</w:t>
      </w:r>
      <w:r>
        <w:rPr>
          <w:rFonts w:hint="eastAsia" w:ascii="宋体" w:hAnsi="宋体" w:eastAsia="宋体" w:cs="宋体"/>
          <w:color w:val="auto"/>
          <w:sz w:val="24"/>
          <w:szCs w:val="24"/>
          <w:highlight w:val="none"/>
          <w:u w:val="none"/>
          <w:lang w:val="en-US" w:eastAsia="zh-CN"/>
        </w:rPr>
        <w:t xml:space="preserve"> </w:t>
      </w:r>
    </w:p>
    <w:p>
      <w:pPr>
        <w:numPr>
          <w:ilvl w:val="0"/>
          <w:numId w:val="0"/>
        </w:numPr>
        <w:adjustRightInd w:val="0"/>
        <w:snapToGrid w:val="0"/>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工期</w:t>
      </w:r>
      <w:r>
        <w:rPr>
          <w:rFonts w:hint="eastAsia" w:ascii="宋体" w:hAnsi="宋体" w:cs="宋体"/>
          <w:color w:val="auto"/>
          <w:sz w:val="24"/>
          <w:szCs w:val="24"/>
          <w:highlight w:val="none"/>
        </w:rPr>
        <w:t>）完成本项目，且质量等级达到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标准。</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2、愿意按照《中华人民共和国民法典》和《中华人民共和国政府采购法》履行自己的责任和义务，并对投标过程中的一切行为承担法律责任。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3、如果我们</w:t>
      </w:r>
      <w:r>
        <w:rPr>
          <w:rFonts w:hint="eastAsia" w:ascii="宋体" w:hAnsi="宋体" w:eastAsia="宋体" w:cs="宋体"/>
          <w:color w:val="auto"/>
          <w:sz w:val="24"/>
          <w:szCs w:val="24"/>
          <w:highlight w:val="none"/>
          <w:lang w:eastAsia="zh-CN"/>
        </w:rPr>
        <w:t>磋商函</w:t>
      </w:r>
      <w:r>
        <w:rPr>
          <w:rFonts w:hint="eastAsia" w:ascii="宋体" w:hAnsi="宋体" w:cs="宋体"/>
          <w:color w:val="auto"/>
          <w:sz w:val="24"/>
          <w:szCs w:val="24"/>
          <w:highlight w:val="none"/>
        </w:rPr>
        <w:t>被接受，我们将履行采购文件中规定的每一项要求，按期、按质、按量完成任务。</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4、我们愿意提供</w:t>
      </w: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rPr>
        <w:t>在采购文件中要求的所有数据、资料，并保证其真实、有效。</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5、我们理解，最低报价不是中标的唯一条件。</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rPr>
        <w:t>、我方的投标有效期为</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rPr>
        <w:t>0天（即从开标之日起</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rPr>
        <w:t>0天内有效）。</w:t>
      </w: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jc w:val="center"/>
        <w:rPr>
          <w:rFonts w:hint="eastAsia" w:ascii="宋体" w:hAnsi="宋体" w:cs="宋体"/>
          <w:color w:val="auto"/>
          <w:spacing w:val="12"/>
          <w:sz w:val="24"/>
          <w:szCs w:val="24"/>
          <w:highlight w:val="none"/>
        </w:rPr>
      </w:pP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 xml:space="preserve">供应商：（公章）             </w:t>
      </w:r>
    </w:p>
    <w:p>
      <w:pPr>
        <w:adjustRightInd w:val="0"/>
        <w:snapToGrid w:val="0"/>
        <w:spacing w:line="360" w:lineRule="auto"/>
        <w:ind w:firstLine="3360" w:firstLineChars="1400"/>
        <w:rPr>
          <w:rFonts w:ascii="宋体" w:hAnsi="宋体" w:eastAsia="Times New Roman" w:cs="宋体"/>
          <w:color w:val="auto"/>
          <w:spacing w:val="12"/>
          <w:sz w:val="24"/>
          <w:szCs w:val="24"/>
          <w:highlight w:val="none"/>
        </w:rPr>
      </w:pPr>
      <w:r>
        <w:rPr>
          <w:rFonts w:hint="eastAsia" w:ascii="宋体" w:hAnsi="宋体" w:eastAsia="Times New Roman" w:cs="宋体"/>
          <w:color w:val="auto"/>
          <w:sz w:val="24"/>
          <w:szCs w:val="24"/>
          <w:highlight w:val="none"/>
          <w:lang w:val="zh-CN"/>
        </w:rPr>
        <w:t>法</w:t>
      </w:r>
      <w:r>
        <w:rPr>
          <w:rFonts w:hint="eastAsia" w:ascii="宋体" w:hAnsi="宋体" w:eastAsia="Times New Roman" w:cs="宋体"/>
          <w:color w:val="auto"/>
          <w:sz w:val="24"/>
          <w:szCs w:val="24"/>
          <w:highlight w:val="none"/>
          <w:lang w:val="zh-CN" w:eastAsia="zh-CN"/>
        </w:rPr>
        <w:t>定</w:t>
      </w:r>
      <w:r>
        <w:rPr>
          <w:rFonts w:hint="eastAsia" w:ascii="宋体" w:hAnsi="宋体" w:eastAsia="Times New Roman" w:cs="宋体"/>
          <w:color w:val="auto"/>
          <w:sz w:val="24"/>
          <w:szCs w:val="24"/>
          <w:highlight w:val="none"/>
          <w:lang w:val="zh-CN"/>
        </w:rPr>
        <w:t>代表人或授权代理人：</w:t>
      </w:r>
      <w:r>
        <w:rPr>
          <w:rFonts w:hint="eastAsia" w:ascii="宋体" w:hAnsi="宋体" w:eastAsia="Times New Roman" w:cs="宋体"/>
          <w:color w:val="auto"/>
          <w:spacing w:val="12"/>
          <w:sz w:val="24"/>
          <w:szCs w:val="24"/>
          <w:highlight w:val="none"/>
        </w:rPr>
        <w:t xml:space="preserve"> </w:t>
      </w:r>
      <w:r>
        <w:rPr>
          <w:rFonts w:hint="eastAsia" w:ascii="宋体" w:hAnsi="宋体" w:eastAsia="Times New Roman" w:cs="宋体"/>
          <w:color w:val="auto"/>
          <w:spacing w:val="12"/>
          <w:sz w:val="24"/>
          <w:szCs w:val="24"/>
          <w:highlight w:val="none"/>
          <w:lang w:val="en-US" w:eastAsia="zh-CN"/>
        </w:rPr>
        <w:t xml:space="preserve">   </w:t>
      </w:r>
      <w:r>
        <w:rPr>
          <w:rFonts w:hint="eastAsia" w:ascii="宋体" w:hAnsi="宋体" w:eastAsia="Times New Roman" w:cs="宋体"/>
          <w:color w:val="auto"/>
          <w:spacing w:val="12"/>
          <w:sz w:val="24"/>
          <w:szCs w:val="24"/>
          <w:highlight w:val="none"/>
        </w:rPr>
        <w:t>（</w:t>
      </w:r>
      <w:r>
        <w:rPr>
          <w:rFonts w:hint="eastAsia" w:ascii="宋体" w:hAnsi="宋体" w:eastAsia="宋体" w:cs="宋体"/>
          <w:color w:val="auto"/>
          <w:spacing w:val="12"/>
          <w:sz w:val="24"/>
          <w:szCs w:val="24"/>
          <w:highlight w:val="none"/>
          <w:lang w:val="en-US" w:eastAsia="zh-CN"/>
        </w:rPr>
        <w:t>签字或盖章</w:t>
      </w:r>
      <w:r>
        <w:rPr>
          <w:rFonts w:hint="eastAsia" w:ascii="宋体" w:hAnsi="宋体" w:eastAsia="Times New Roman" w:cs="宋体"/>
          <w:color w:val="auto"/>
          <w:spacing w:val="12"/>
          <w:sz w:val="24"/>
          <w:szCs w:val="24"/>
          <w:highlight w:val="none"/>
        </w:rPr>
        <w:t>）</w:t>
      </w:r>
    </w:p>
    <w:p>
      <w:pPr>
        <w:adjustRightInd w:val="0"/>
        <w:snapToGrid w:val="0"/>
        <w:spacing w:line="360" w:lineRule="auto"/>
        <w:rPr>
          <w:rFonts w:ascii="宋体" w:hAnsi="宋体" w:cs="宋体"/>
          <w:color w:val="auto"/>
          <w:spacing w:val="12"/>
          <w:sz w:val="24"/>
          <w:szCs w:val="24"/>
          <w:highlight w:val="none"/>
        </w:rPr>
      </w:pPr>
    </w:p>
    <w:p>
      <w:pPr>
        <w:rPr>
          <w:rFonts w:ascii="宋体" w:hAnsi="宋体" w:cs="宋体"/>
          <w:color w:val="auto"/>
          <w:sz w:val="24"/>
          <w:szCs w:val="24"/>
          <w:highlight w:val="none"/>
        </w:rPr>
      </w:pPr>
      <w:r>
        <w:rPr>
          <w:rFonts w:hint="eastAsia" w:ascii="宋体" w:hAnsi="宋体" w:cs="宋体"/>
          <w:color w:val="auto"/>
          <w:spacing w:val="12"/>
          <w:sz w:val="24"/>
          <w:szCs w:val="24"/>
          <w:highlight w:val="none"/>
        </w:rPr>
        <w:t xml:space="preserve">                                              年  月  日</w:t>
      </w:r>
      <w:r>
        <w:rPr>
          <w:rFonts w:hint="eastAsia" w:ascii="宋体" w:hAnsi="宋体" w:cs="宋体"/>
          <w:color w:val="auto"/>
          <w:sz w:val="24"/>
          <w:szCs w:val="24"/>
          <w:highlight w:val="none"/>
        </w:rPr>
        <w:t xml:space="preserve"> </w:t>
      </w: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numPr>
          <w:ilvl w:val="0"/>
          <w:numId w:val="4"/>
        </w:numPr>
        <w:adjustRightInd w:val="0"/>
        <w:snapToGrid w:val="0"/>
        <w:spacing w:line="360" w:lineRule="auto"/>
        <w:jc w:val="center"/>
        <w:rPr>
          <w:rFonts w:hint="eastAsia" w:ascii="宋体" w:hAnsi="宋体" w:eastAsia="Times New Roman" w:cs="宋体"/>
          <w:b/>
          <w:color w:val="auto"/>
          <w:sz w:val="24"/>
          <w:szCs w:val="24"/>
          <w:highlight w:val="none"/>
        </w:rPr>
      </w:pPr>
      <w:r>
        <w:rPr>
          <w:rFonts w:hint="eastAsia" w:ascii="宋体" w:hAnsi="宋体" w:eastAsia="Times New Roman" w:cs="宋体"/>
          <w:b/>
          <w:color w:val="auto"/>
          <w:sz w:val="24"/>
          <w:szCs w:val="24"/>
          <w:highlight w:val="none"/>
        </w:rPr>
        <w:t>投标报价表</w:t>
      </w:r>
    </w:p>
    <w:p>
      <w:pPr>
        <w:pStyle w:val="68"/>
        <w:spacing w:line="363" w:lineRule="exact"/>
        <w:ind w:left="317"/>
        <w:jc w:val="center"/>
        <w:outlineLvl w:val="2"/>
        <w:rPr>
          <w:rFonts w:hint="eastAsia" w:ascii="宋体" w:hAnsi="宋体" w:eastAsia="Times New Roman" w:cs="宋体"/>
          <w:b/>
          <w:color w:val="auto"/>
          <w:kern w:val="2"/>
          <w:sz w:val="24"/>
          <w:szCs w:val="24"/>
          <w:highlight w:val="none"/>
          <w:lang w:val="en-US" w:eastAsia="zh-CN" w:bidi="ar-SA"/>
        </w:rPr>
      </w:pPr>
      <w:r>
        <w:rPr>
          <w:rFonts w:hint="eastAsia" w:ascii="宋体" w:hAnsi="宋体" w:eastAsia="Times New Roman" w:cs="宋体"/>
          <w:b/>
          <w:color w:val="auto"/>
          <w:kern w:val="2"/>
          <w:sz w:val="24"/>
          <w:szCs w:val="24"/>
          <w:highlight w:val="none"/>
          <w:lang w:val="en-US" w:eastAsia="zh-CN" w:bidi="ar-SA"/>
        </w:rPr>
        <w:t>（一）投标总价表</w:t>
      </w:r>
    </w:p>
    <w:p>
      <w:pPr>
        <w:spacing w:line="360" w:lineRule="auto"/>
        <w:rPr>
          <w:rStyle w:val="60"/>
          <w:rFonts w:ascii="宋体" w:hAnsi="宋体"/>
          <w:kern w:val="0"/>
          <w:sz w:val="24"/>
        </w:rPr>
      </w:pPr>
    </w:p>
    <w:p>
      <w:pPr>
        <w:spacing w:line="360" w:lineRule="auto"/>
        <w:rPr>
          <w:rStyle w:val="60"/>
          <w:rFonts w:hint="eastAsia" w:ascii="宋体" w:hAnsi="宋体"/>
          <w:sz w:val="24"/>
        </w:rPr>
      </w:pPr>
      <w:r>
        <w:rPr>
          <w:rStyle w:val="60"/>
          <w:rFonts w:ascii="宋体" w:hAnsi="宋体"/>
          <w:kern w:val="0"/>
          <w:sz w:val="24"/>
        </w:rPr>
        <w:t>项目名称：</w:t>
      </w:r>
    </w:p>
    <w:p>
      <w:pPr>
        <w:spacing w:line="360" w:lineRule="auto"/>
        <w:ind w:right="1080"/>
        <w:rPr>
          <w:rStyle w:val="60"/>
          <w:rFonts w:ascii="宋体" w:hAnsi="宋体"/>
          <w:kern w:val="0"/>
          <w:sz w:val="24"/>
        </w:rPr>
      </w:pPr>
      <w:r>
        <w:rPr>
          <w:rStyle w:val="60"/>
          <w:rFonts w:ascii="宋体" w:hAnsi="宋体"/>
          <w:kern w:val="0"/>
          <w:sz w:val="24"/>
        </w:rPr>
        <w:t>项目编号：</w:t>
      </w:r>
    </w:p>
    <w:p>
      <w:pPr>
        <w:spacing w:line="360" w:lineRule="auto"/>
        <w:rPr>
          <w:rStyle w:val="60"/>
          <w:rFonts w:hint="eastAsia" w:ascii="宋体" w:hAnsi="宋体" w:eastAsia="宋体" w:cs="Times New Roman"/>
          <w:kern w:val="0"/>
          <w:sz w:val="24"/>
        </w:rPr>
      </w:pPr>
      <w:r>
        <w:rPr>
          <w:rStyle w:val="60"/>
          <w:rFonts w:hint="eastAsia" w:ascii="宋体" w:hAnsi="宋体" w:eastAsia="宋体" w:cs="Times New Roman"/>
          <w:kern w:val="0"/>
          <w:sz w:val="24"/>
        </w:rPr>
        <w:t xml:space="preserve">供应商名称：                         (加盖供应商公章) </w:t>
      </w:r>
      <w:r>
        <w:rPr>
          <w:rStyle w:val="60"/>
          <w:rFonts w:hint="eastAsia" w:ascii="宋体" w:hAnsi="宋体" w:eastAsia="宋体" w:cs="Times New Roman"/>
          <w:kern w:val="0"/>
          <w:sz w:val="24"/>
          <w:lang w:val="en-US" w:eastAsia="zh-CN"/>
        </w:rPr>
        <w:t xml:space="preserve">  </w:t>
      </w:r>
      <w:r>
        <w:rPr>
          <w:rStyle w:val="60"/>
          <w:rFonts w:hint="eastAsia" w:ascii="宋体" w:hAnsi="宋体" w:eastAsia="宋体" w:cs="Times New Roman"/>
          <w:kern w:val="0"/>
          <w:sz w:val="24"/>
        </w:rPr>
        <w:t>单位：元(人民币)</w:t>
      </w:r>
    </w:p>
    <w:tbl>
      <w:tblPr>
        <w:tblStyle w:val="20"/>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16"/>
        <w:gridCol w:w="1351"/>
        <w:gridCol w:w="5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945" w:type="dxa"/>
            <w:noWrap w:val="0"/>
            <w:vAlign w:val="center"/>
          </w:tcPr>
          <w:p>
            <w:pPr>
              <w:pStyle w:val="67"/>
              <w:jc w:val="center"/>
              <w:rPr>
                <w:rFonts w:hint="eastAsia"/>
                <w:lang w:eastAsia="zh-CN"/>
              </w:rPr>
            </w:pPr>
            <w:r>
              <w:rPr>
                <w:rFonts w:hint="eastAsia"/>
                <w:lang w:eastAsia="zh-CN"/>
              </w:rPr>
              <w:t>投标人</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945" w:type="dxa"/>
            <w:vMerge w:val="restart"/>
            <w:tcBorders>
              <w:bottom w:val="nil"/>
            </w:tcBorders>
            <w:noWrap w:val="0"/>
            <w:vAlign w:val="center"/>
          </w:tcPr>
          <w:p>
            <w:pPr>
              <w:spacing w:line="257" w:lineRule="auto"/>
              <w:jc w:val="center"/>
              <w:rPr>
                <w:sz w:val="24"/>
                <w:szCs w:val="24"/>
              </w:rPr>
            </w:pPr>
          </w:p>
          <w:p>
            <w:pPr>
              <w:pStyle w:val="67"/>
              <w:jc w:val="center"/>
              <w:rPr>
                <w:rFonts w:hint="eastAsia"/>
                <w:lang w:eastAsia="zh-CN"/>
              </w:rPr>
            </w:pPr>
            <w:r>
              <w:rPr>
                <w:rFonts w:hint="eastAsia"/>
                <w:lang w:eastAsia="zh-CN"/>
              </w:rPr>
              <w:t>投标总价</w:t>
            </w:r>
          </w:p>
        </w:tc>
        <w:tc>
          <w:tcPr>
            <w:tcW w:w="1442" w:type="dxa"/>
            <w:noWrap w:val="0"/>
            <w:vAlign w:val="center"/>
          </w:tcPr>
          <w:p>
            <w:pPr>
              <w:pStyle w:val="67"/>
              <w:rPr>
                <w:rFonts w:hint="eastAsia" w:eastAsia="宋体"/>
                <w:lang w:eastAsia="zh-CN"/>
              </w:rPr>
            </w:pPr>
            <w:r>
              <w:t>大写</w:t>
            </w:r>
          </w:p>
        </w:tc>
        <w:tc>
          <w:tcPr>
            <w:tcW w:w="5644"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945" w:type="dxa"/>
            <w:vMerge w:val="continue"/>
            <w:tcBorders>
              <w:top w:val="nil"/>
            </w:tcBorders>
            <w:noWrap w:val="0"/>
            <w:vAlign w:val="center"/>
          </w:tcPr>
          <w:p>
            <w:pPr>
              <w:jc w:val="center"/>
              <w:rPr>
                <w:rFonts w:hint="eastAsia" w:ascii="宋体" w:hAnsi="宋体" w:cs="宋体"/>
                <w:sz w:val="24"/>
                <w:szCs w:val="24"/>
              </w:rPr>
            </w:pPr>
          </w:p>
        </w:tc>
        <w:tc>
          <w:tcPr>
            <w:tcW w:w="1442" w:type="dxa"/>
            <w:noWrap w:val="0"/>
            <w:vAlign w:val="center"/>
          </w:tcPr>
          <w:p>
            <w:pPr>
              <w:pStyle w:val="67"/>
              <w:rPr>
                <w:rFonts w:hint="eastAsia"/>
              </w:rPr>
            </w:pPr>
            <w:r>
              <w:t>小写</w:t>
            </w:r>
          </w:p>
        </w:tc>
        <w:tc>
          <w:tcPr>
            <w:tcW w:w="5644" w:type="dxa"/>
            <w:noWrap w:val="0"/>
            <w:vAlign w:val="center"/>
          </w:tcPr>
          <w:p>
            <w:pPr>
              <w:ind w:firstLine="240" w:firstLineChars="100"/>
              <w:rPr>
                <w:rFonts w:hint="eastAsia" w:ascii="宋体" w:hAnsi="宋体" w:cs="宋体"/>
                <w:sz w:val="24"/>
                <w:szCs w:val="24"/>
              </w:rPr>
            </w:pPr>
            <w:r>
              <w:rPr>
                <w:rFonts w:hint="eastAsia"/>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45" w:type="dxa"/>
            <w:noWrap w:val="0"/>
            <w:vAlign w:val="center"/>
          </w:tcPr>
          <w:p>
            <w:pPr>
              <w:pStyle w:val="67"/>
              <w:jc w:val="center"/>
              <w:rPr>
                <w:rFonts w:hint="eastAsia"/>
                <w:lang w:eastAsia="zh-CN"/>
              </w:rPr>
            </w:pPr>
            <w:r>
              <w:rPr>
                <w:rFonts w:hint="eastAsia"/>
                <w:lang w:eastAsia="zh-CN"/>
              </w:rPr>
              <w:t>服务范围</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45" w:type="dxa"/>
            <w:noWrap w:val="0"/>
            <w:vAlign w:val="center"/>
          </w:tcPr>
          <w:p>
            <w:pPr>
              <w:pStyle w:val="67"/>
              <w:jc w:val="center"/>
              <w:rPr>
                <w:rFonts w:hint="eastAsia"/>
                <w:lang w:eastAsia="zh-CN"/>
              </w:rPr>
            </w:pPr>
            <w:r>
              <w:rPr>
                <w:rFonts w:hint="eastAsia"/>
                <w:lang w:eastAsia="zh-CN"/>
              </w:rPr>
              <w:t>服务要求</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45" w:type="dxa"/>
            <w:noWrap w:val="0"/>
            <w:vAlign w:val="center"/>
          </w:tcPr>
          <w:p>
            <w:pPr>
              <w:pStyle w:val="67"/>
              <w:jc w:val="center"/>
              <w:rPr>
                <w:rFonts w:hint="eastAsia"/>
              </w:rPr>
            </w:pPr>
            <w:r>
              <w:rPr>
                <w:rFonts w:hint="eastAsia"/>
                <w:lang w:val="en-US" w:eastAsia="zh-CN"/>
              </w:rPr>
              <w:t>质量</w:t>
            </w:r>
            <w:r>
              <w:t>标准</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jc w:val="center"/>
        </w:trPr>
        <w:tc>
          <w:tcPr>
            <w:tcW w:w="1945" w:type="dxa"/>
            <w:noWrap w:val="0"/>
            <w:vAlign w:val="center"/>
          </w:tcPr>
          <w:p>
            <w:pPr>
              <w:pStyle w:val="67"/>
              <w:jc w:val="center"/>
              <w:rPr>
                <w:lang w:eastAsia="zh-CN"/>
              </w:rPr>
            </w:pPr>
            <w:r>
              <w:rPr>
                <w:rFonts w:hint="eastAsia"/>
                <w:lang w:val="en-US" w:eastAsia="zh-CN"/>
              </w:rPr>
              <w:t>工期</w:t>
            </w:r>
          </w:p>
        </w:tc>
        <w:tc>
          <w:tcPr>
            <w:tcW w:w="7086" w:type="dxa"/>
            <w:gridSpan w:val="2"/>
            <w:noWrap w:val="0"/>
            <w:vAlign w:val="top"/>
          </w:tcPr>
          <w:p>
            <w:pPr>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945" w:type="dxa"/>
            <w:noWrap w:val="0"/>
            <w:vAlign w:val="center"/>
          </w:tcPr>
          <w:p>
            <w:pPr>
              <w:pStyle w:val="67"/>
              <w:jc w:val="center"/>
              <w:rPr>
                <w:rFonts w:hint="default"/>
                <w:lang w:val="en-US" w:eastAsia="zh-CN"/>
              </w:rPr>
            </w:pPr>
            <w:r>
              <w:rPr>
                <w:rFonts w:hint="eastAsia"/>
                <w:lang w:val="en-US" w:eastAsia="zh-CN"/>
              </w:rPr>
              <w:t>服务期限</w:t>
            </w:r>
          </w:p>
        </w:tc>
        <w:tc>
          <w:tcPr>
            <w:tcW w:w="7086" w:type="dxa"/>
            <w:gridSpan w:val="2"/>
            <w:noWrap w:val="0"/>
            <w:vAlign w:val="top"/>
          </w:tcPr>
          <w:p>
            <w:pPr>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945" w:type="dxa"/>
            <w:noWrap w:val="0"/>
            <w:vAlign w:val="center"/>
          </w:tcPr>
          <w:p>
            <w:pPr>
              <w:pStyle w:val="67"/>
              <w:jc w:val="center"/>
              <w:rPr>
                <w:rFonts w:hint="eastAsia"/>
                <w:lang w:eastAsia="zh-CN"/>
              </w:rPr>
            </w:pPr>
            <w:r>
              <w:t>备注</w:t>
            </w:r>
          </w:p>
        </w:tc>
        <w:tc>
          <w:tcPr>
            <w:tcW w:w="7086" w:type="dxa"/>
            <w:gridSpan w:val="2"/>
            <w:noWrap w:val="0"/>
            <w:vAlign w:val="top"/>
          </w:tcPr>
          <w:p>
            <w:pPr>
              <w:rPr>
                <w:rFonts w:hint="eastAsia" w:ascii="宋体" w:hAnsi="宋体" w:cs="宋体"/>
              </w:rPr>
            </w:pPr>
          </w:p>
        </w:tc>
      </w:tr>
    </w:tbl>
    <w:p>
      <w:pPr>
        <w:pStyle w:val="69"/>
        <w:rPr>
          <w:rStyle w:val="60"/>
        </w:rPr>
      </w:pPr>
    </w:p>
    <w:p>
      <w:pPr>
        <w:pStyle w:val="69"/>
        <w:rPr>
          <w:rStyle w:val="60"/>
        </w:rPr>
      </w:pPr>
    </w:p>
    <w:p>
      <w:pPr>
        <w:widowControl/>
        <w:kinsoku w:val="0"/>
        <w:autoSpaceDE w:val="0"/>
        <w:autoSpaceDN w:val="0"/>
        <w:adjustRightInd w:val="0"/>
        <w:snapToGrid w:val="0"/>
        <w:spacing w:line="360" w:lineRule="auto"/>
        <w:ind w:firstLine="612"/>
        <w:textAlignment w:val="baseline"/>
        <w:rPr>
          <w:rFonts w:hint="eastAsia" w:ascii="宋体" w:hAnsi="宋体" w:cs="宋体"/>
          <w:sz w:val="24"/>
          <w:szCs w:val="24"/>
        </w:rPr>
      </w:pPr>
      <w:r>
        <w:rPr>
          <w:rFonts w:hint="eastAsia" w:ascii="宋体" w:hAnsi="宋体" w:cs="宋体"/>
          <w:sz w:val="24"/>
          <w:szCs w:val="24"/>
        </w:rPr>
        <w:t>投标总价应是招标文件所确定的采购需求内的全部工作内容的价格体现，包括但不限于服务期间产生的设备配件维护、修理、更换费用，材料费、人工费、人员意外、经济纠纷、税金等各项费用，报价若有遗漏，均应免费提供。</w:t>
      </w:r>
    </w:p>
    <w:p>
      <w:pPr>
        <w:pStyle w:val="69"/>
        <w:ind w:left="0" w:firstLine="0"/>
        <w:rPr>
          <w:rStyle w:val="60"/>
        </w:rPr>
      </w:pPr>
    </w:p>
    <w:p>
      <w:pPr>
        <w:pStyle w:val="69"/>
        <w:rPr>
          <w:rStyle w:val="60"/>
        </w:rPr>
      </w:pPr>
    </w:p>
    <w:p>
      <w:pPr>
        <w:spacing w:line="360" w:lineRule="auto"/>
        <w:rPr>
          <w:rStyle w:val="60"/>
          <w:rFonts w:ascii="宋体" w:hAnsi="宋体"/>
          <w:kern w:val="0"/>
          <w:sz w:val="24"/>
        </w:rPr>
      </w:pPr>
      <w:r>
        <w:rPr>
          <w:rStyle w:val="60"/>
          <w:rFonts w:ascii="宋体" w:hAnsi="宋体"/>
          <w:kern w:val="0"/>
          <w:sz w:val="24"/>
        </w:rPr>
        <w:t xml:space="preserve">    </w:t>
      </w:r>
      <w:r>
        <w:rPr>
          <w:rFonts w:hint="eastAsia" w:ascii="宋体" w:hAnsi="宋体" w:cs="宋体"/>
          <w:sz w:val="24"/>
        </w:rPr>
        <w:t>投标人</w:t>
      </w:r>
      <w:r>
        <w:rPr>
          <w:rStyle w:val="60"/>
          <w:rFonts w:hint="eastAsia" w:ascii="宋体" w:hAnsi="宋体"/>
          <w:kern w:val="0"/>
          <w:sz w:val="24"/>
        </w:rPr>
        <w:t>名称</w:t>
      </w:r>
      <w:r>
        <w:rPr>
          <w:rStyle w:val="60"/>
          <w:rFonts w:ascii="宋体" w:hAnsi="宋体"/>
          <w:kern w:val="0"/>
          <w:sz w:val="24"/>
        </w:rPr>
        <w:t>：</w:t>
      </w:r>
      <w:r>
        <w:rPr>
          <w:rStyle w:val="60"/>
          <w:rFonts w:hint="eastAsia" w:ascii="宋体" w:hAnsi="宋体"/>
          <w:kern w:val="0"/>
          <w:sz w:val="24"/>
          <w:u w:val="single"/>
        </w:rPr>
        <w:t xml:space="preserve">                  </w:t>
      </w:r>
      <w:r>
        <w:rPr>
          <w:rStyle w:val="60"/>
          <w:rFonts w:ascii="宋体" w:hAnsi="宋体"/>
          <w:kern w:val="0"/>
          <w:sz w:val="24"/>
        </w:rPr>
        <w:t>（公章）</w:t>
      </w:r>
    </w:p>
    <w:p>
      <w:pPr>
        <w:spacing w:line="360" w:lineRule="auto"/>
        <w:rPr>
          <w:rStyle w:val="60"/>
          <w:rFonts w:ascii="宋体" w:hAnsi="宋体"/>
          <w:kern w:val="0"/>
          <w:sz w:val="24"/>
        </w:rPr>
      </w:pPr>
      <w:r>
        <w:rPr>
          <w:rStyle w:val="60"/>
          <w:rFonts w:ascii="宋体" w:hAnsi="宋体"/>
          <w:kern w:val="0"/>
          <w:sz w:val="24"/>
        </w:rPr>
        <w:t xml:space="preserve">    法定代表人</w:t>
      </w:r>
      <w:r>
        <w:rPr>
          <w:rStyle w:val="60"/>
          <w:rFonts w:hint="eastAsia" w:ascii="宋体" w:hAnsi="宋体"/>
          <w:kern w:val="0"/>
          <w:sz w:val="24"/>
        </w:rPr>
        <w:t>或委托代理人</w:t>
      </w:r>
      <w:r>
        <w:rPr>
          <w:rStyle w:val="60"/>
          <w:rFonts w:ascii="宋体" w:hAnsi="宋体"/>
          <w:kern w:val="0"/>
          <w:sz w:val="24"/>
        </w:rPr>
        <w:t>：</w:t>
      </w:r>
      <w:r>
        <w:rPr>
          <w:rStyle w:val="60"/>
          <w:rFonts w:hint="eastAsia" w:ascii="宋体" w:hAnsi="宋体"/>
          <w:kern w:val="0"/>
          <w:sz w:val="24"/>
          <w:u w:val="single"/>
        </w:rPr>
        <w:t xml:space="preserve">       </w:t>
      </w:r>
      <w:r>
        <w:rPr>
          <w:rStyle w:val="60"/>
          <w:rFonts w:ascii="宋体" w:hAnsi="宋体"/>
          <w:kern w:val="0"/>
          <w:sz w:val="24"/>
        </w:rPr>
        <w:t>（签字或</w:t>
      </w:r>
      <w:r>
        <w:rPr>
          <w:rStyle w:val="60"/>
          <w:rFonts w:hint="eastAsia" w:ascii="宋体" w:hAnsi="宋体"/>
          <w:kern w:val="0"/>
          <w:sz w:val="24"/>
        </w:rPr>
        <w:t>盖章</w:t>
      </w:r>
      <w:r>
        <w:rPr>
          <w:rStyle w:val="60"/>
          <w:rFonts w:ascii="宋体" w:hAnsi="宋体"/>
          <w:kern w:val="0"/>
          <w:sz w:val="24"/>
        </w:rPr>
        <w:t>）</w:t>
      </w:r>
    </w:p>
    <w:p>
      <w:pPr>
        <w:spacing w:line="360" w:lineRule="auto"/>
        <w:ind w:right="480" w:firstLine="480"/>
        <w:rPr>
          <w:rStyle w:val="60"/>
          <w:rFonts w:ascii="宋体" w:hAnsi="宋体"/>
          <w:kern w:val="0"/>
          <w:sz w:val="24"/>
        </w:rPr>
      </w:pPr>
      <w:r>
        <w:rPr>
          <w:rStyle w:val="60"/>
          <w:rFonts w:ascii="宋体" w:hAnsi="宋体"/>
          <w:kern w:val="0"/>
          <w:sz w:val="24"/>
        </w:rPr>
        <w:t>日</w:t>
      </w:r>
      <w:r>
        <w:rPr>
          <w:rStyle w:val="60"/>
          <w:rFonts w:hint="eastAsia" w:ascii="宋体" w:hAnsi="宋体"/>
          <w:kern w:val="0"/>
          <w:sz w:val="24"/>
        </w:rPr>
        <w:t xml:space="preserve">      </w:t>
      </w:r>
      <w:r>
        <w:rPr>
          <w:rStyle w:val="60"/>
          <w:rFonts w:ascii="宋体" w:hAnsi="宋体"/>
          <w:kern w:val="0"/>
          <w:sz w:val="24"/>
        </w:rPr>
        <w:t>期：</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ascii="宋体" w:hAnsi="宋体"/>
          <w:kern w:val="0"/>
          <w:sz w:val="24"/>
        </w:rPr>
        <w:t>年</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ascii="宋体" w:hAnsi="宋体"/>
          <w:kern w:val="0"/>
          <w:sz w:val="24"/>
        </w:rPr>
        <w:t>月</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ascii="宋体" w:hAnsi="宋体"/>
          <w:kern w:val="0"/>
          <w:sz w:val="24"/>
        </w:rPr>
        <w:t>日</w:t>
      </w: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pStyle w:val="68"/>
        <w:spacing w:line="363" w:lineRule="exact"/>
        <w:ind w:left="317"/>
        <w:jc w:val="center"/>
        <w:outlineLvl w:val="2"/>
        <w:rPr>
          <w:rFonts w:hint="eastAsia" w:ascii="宋体" w:hAnsi="宋体" w:eastAsia="Times New Roman" w:cs="宋体"/>
          <w:b/>
          <w:color w:val="auto"/>
          <w:kern w:val="2"/>
          <w:sz w:val="24"/>
          <w:szCs w:val="24"/>
          <w:highlight w:val="none"/>
          <w:lang w:val="en-US" w:eastAsia="zh-CN" w:bidi="ar-SA"/>
        </w:rPr>
      </w:pPr>
      <w:r>
        <w:rPr>
          <w:rFonts w:hint="eastAsia" w:ascii="宋体" w:hAnsi="宋体" w:eastAsia="Times New Roman" w:cs="宋体"/>
          <w:b/>
          <w:color w:val="auto"/>
          <w:kern w:val="2"/>
          <w:sz w:val="24"/>
          <w:szCs w:val="24"/>
          <w:highlight w:val="none"/>
          <w:lang w:val="en-US" w:eastAsia="zh-CN" w:bidi="ar-SA"/>
        </w:rPr>
        <w:t>（</w:t>
      </w:r>
      <w:r>
        <w:rPr>
          <w:rFonts w:hint="eastAsia" w:eastAsia="Times New Roman" w:cs="宋体"/>
          <w:b/>
          <w:color w:val="auto"/>
          <w:kern w:val="2"/>
          <w:sz w:val="24"/>
          <w:szCs w:val="24"/>
          <w:highlight w:val="none"/>
          <w:lang w:val="en-US" w:eastAsia="zh-CN" w:bidi="ar-SA"/>
        </w:rPr>
        <w:t>二</w:t>
      </w:r>
      <w:r>
        <w:rPr>
          <w:rFonts w:hint="eastAsia" w:ascii="宋体" w:hAnsi="宋体" w:eastAsia="Times New Roman" w:cs="宋体"/>
          <w:b/>
          <w:color w:val="auto"/>
          <w:kern w:val="2"/>
          <w:sz w:val="24"/>
          <w:szCs w:val="24"/>
          <w:highlight w:val="none"/>
          <w:lang w:val="en-US" w:eastAsia="zh-CN" w:bidi="ar-SA"/>
        </w:rPr>
        <w:t>）投标</w:t>
      </w:r>
      <w:r>
        <w:rPr>
          <w:rFonts w:hint="eastAsia" w:eastAsia="Times New Roman" w:cs="宋体"/>
          <w:b/>
          <w:color w:val="auto"/>
          <w:kern w:val="2"/>
          <w:sz w:val="24"/>
          <w:szCs w:val="24"/>
          <w:highlight w:val="none"/>
          <w:lang w:val="en-US" w:eastAsia="zh-CN" w:bidi="ar-SA"/>
        </w:rPr>
        <w:t>明细</w:t>
      </w:r>
      <w:r>
        <w:rPr>
          <w:rFonts w:hint="eastAsia" w:ascii="宋体" w:hAnsi="宋体" w:eastAsia="Times New Roman" w:cs="宋体"/>
          <w:b/>
          <w:color w:val="auto"/>
          <w:kern w:val="2"/>
          <w:sz w:val="24"/>
          <w:szCs w:val="24"/>
          <w:highlight w:val="none"/>
          <w:lang w:val="en-US" w:eastAsia="zh-CN" w:bidi="ar-SA"/>
        </w:rPr>
        <w:t>表</w:t>
      </w: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项目编号：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项目名称：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供应商名称：                         (加盖供应商公章)          单位：元(人民币)</w:t>
      </w:r>
    </w:p>
    <w:tbl>
      <w:tblPr>
        <w:tblStyle w:val="20"/>
        <w:tblW w:w="10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602"/>
        <w:gridCol w:w="1623"/>
        <w:gridCol w:w="880"/>
        <w:gridCol w:w="1127"/>
        <w:gridCol w:w="682"/>
        <w:gridCol w:w="1150"/>
        <w:gridCol w:w="1234"/>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序号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生产厂家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品牌</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规格型号</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单价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default"/>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default" w:eastAsia="宋体"/>
                <w:sz w:val="21"/>
                <w:szCs w:val="21"/>
                <w:lang w:val="en-US" w:eastAsia="zh-CN"/>
              </w:rPr>
            </w:pPr>
            <w:r>
              <w:rPr>
                <w:rFonts w:hint="eastAsia" w:eastAsia="宋体"/>
                <w:sz w:val="21"/>
                <w:szCs w:val="21"/>
                <w:lang w:val="en-US" w:eastAsia="zh-CN"/>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0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rPr>
                <w:rFonts w:hint="eastAsia"/>
                <w:sz w:val="21"/>
                <w:szCs w:val="21"/>
              </w:rPr>
            </w:pPr>
            <w:r>
              <w:rPr>
                <w:rFonts w:hint="eastAsia"/>
                <w:sz w:val="21"/>
                <w:szCs w:val="21"/>
                <w:lang w:val="en-US" w:eastAsia="zh-CN"/>
              </w:rPr>
              <w:t>总计（大写）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0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rPr>
                <w:rFonts w:hint="eastAsia"/>
                <w:sz w:val="21"/>
                <w:szCs w:val="21"/>
              </w:rPr>
            </w:pPr>
            <w:r>
              <w:rPr>
                <w:rFonts w:hint="eastAsia"/>
                <w:sz w:val="21"/>
                <w:szCs w:val="21"/>
                <w:lang w:val="en-US" w:eastAsia="zh-CN"/>
              </w:rPr>
              <w:t>总计（小写）</w:t>
            </w:r>
          </w:p>
        </w:tc>
      </w:tr>
    </w:tbl>
    <w:p>
      <w:pPr>
        <w:spacing w:line="360" w:lineRule="auto"/>
        <w:ind w:firstLine="1056" w:firstLineChars="400"/>
        <w:rPr>
          <w:rFonts w:hint="default" w:ascii="宋体" w:hAnsi="宋体" w:eastAsia="宋体" w:cs="Times New Roman"/>
          <w:b/>
          <w:highlight w:val="none"/>
          <w:lang w:val="en-US" w:eastAsia="zh-CN"/>
        </w:rPr>
      </w:pPr>
      <w:r>
        <w:rPr>
          <w:rFonts w:hint="eastAsia" w:ascii="宋体" w:hAnsi="宋体" w:cs="宋体"/>
          <w:spacing w:val="12"/>
          <w:sz w:val="24"/>
          <w:szCs w:val="24"/>
          <w:highlight w:val="none"/>
        </w:rPr>
        <w:t>法定代表人或</w:t>
      </w:r>
      <w:r>
        <w:rPr>
          <w:rFonts w:hint="eastAsia" w:ascii="宋体" w:hAnsi="宋体" w:cs="宋体"/>
          <w:spacing w:val="12"/>
          <w:sz w:val="24"/>
          <w:szCs w:val="24"/>
          <w:highlight w:val="none"/>
          <w:lang w:eastAsia="zh-CN"/>
        </w:rPr>
        <w:t>委托</w:t>
      </w:r>
      <w:r>
        <w:rPr>
          <w:rFonts w:hint="eastAsia" w:ascii="宋体" w:hAnsi="宋体" w:cs="宋体"/>
          <w:spacing w:val="12"/>
          <w:sz w:val="24"/>
          <w:szCs w:val="24"/>
          <w:highlight w:val="none"/>
        </w:rPr>
        <w:t>代理人：(签字或盖章)</w:t>
      </w:r>
      <w:r>
        <w:rPr>
          <w:rFonts w:hint="eastAsia" w:ascii="宋体" w:hAnsi="宋体" w:cs="宋体"/>
          <w:sz w:val="24"/>
          <w:szCs w:val="24"/>
          <w:highlight w:val="none"/>
        </w:rPr>
        <w:t xml:space="preserve">  </w:t>
      </w:r>
      <w:r>
        <w:rPr>
          <w:rFonts w:hint="eastAsia" w:ascii="宋体" w:hAnsi="宋体" w:eastAsia="宋体" w:cs="宋体"/>
          <w:sz w:val="24"/>
          <w:szCs w:val="24"/>
          <w:highlight w:val="none"/>
          <w:lang w:val="en-US" w:eastAsia="zh-CN"/>
        </w:rPr>
        <w:t xml:space="preserve">         日期：</w:t>
      </w:r>
    </w:p>
    <w:p>
      <w:pPr>
        <w:spacing w:line="360" w:lineRule="auto"/>
        <w:ind w:firstLine="843" w:firstLineChars="400"/>
        <w:rPr>
          <w:rFonts w:hint="eastAsia" w:ascii="宋体" w:hAnsi="宋体" w:eastAsia="宋体" w:cs="Times New Roman"/>
          <w:b/>
          <w:highlight w:val="none"/>
        </w:rPr>
      </w:pPr>
      <w:r>
        <w:rPr>
          <w:rFonts w:hint="eastAsia" w:ascii="宋体" w:hAnsi="宋体" w:eastAsia="宋体" w:cs="Times New Roman"/>
          <w:b/>
          <w:highlight w:val="none"/>
        </w:rPr>
        <w:t>注：</w:t>
      </w:r>
    </w:p>
    <w:p>
      <w:pPr>
        <w:numPr>
          <w:ilvl w:val="0"/>
          <w:numId w:val="5"/>
        </w:numPr>
        <w:spacing w:line="360" w:lineRule="auto"/>
        <w:ind w:firstLine="843" w:firstLineChars="400"/>
        <w:rPr>
          <w:rFonts w:hint="default" w:ascii="宋体" w:hAnsi="宋体" w:eastAsia="宋体" w:cs="Times New Roman"/>
          <w:b/>
          <w:highlight w:val="none"/>
          <w:lang w:val="en-US" w:eastAsia="zh-CN"/>
        </w:rPr>
      </w:pPr>
      <w:r>
        <w:rPr>
          <w:rFonts w:hint="eastAsia" w:ascii="宋体" w:hAnsi="宋体" w:eastAsia="宋体" w:cs="Times New Roman"/>
          <w:b/>
          <w:highlight w:val="none"/>
        </w:rPr>
        <w:t>表格不足可续填，不可缺项。</w:t>
      </w:r>
    </w:p>
    <w:p>
      <w:pPr>
        <w:numPr>
          <w:ilvl w:val="0"/>
          <w:numId w:val="5"/>
        </w:numPr>
        <w:spacing w:line="360" w:lineRule="auto"/>
        <w:ind w:firstLine="843" w:firstLineChars="400"/>
        <w:rPr>
          <w:rFonts w:hint="default" w:ascii="宋体" w:hAnsi="宋体" w:eastAsia="宋体" w:cs="Times New Roman"/>
          <w:b/>
          <w:highlight w:val="none"/>
          <w:lang w:val="en-US" w:eastAsia="zh-CN"/>
        </w:rPr>
      </w:pPr>
      <w:r>
        <w:rPr>
          <w:rFonts w:hint="eastAsia" w:ascii="宋体" w:hAnsi="宋体" w:eastAsia="宋体" w:cs="Times New Roman"/>
          <w:b/>
          <w:highlight w:val="none"/>
        </w:rPr>
        <w:t>以上报价</w:t>
      </w:r>
      <w:r>
        <w:rPr>
          <w:rFonts w:hint="eastAsia" w:ascii="宋体" w:hAnsi="宋体" w:eastAsia="宋体" w:cs="Times New Roman"/>
          <w:b/>
          <w:highlight w:val="none"/>
          <w:lang w:val="en-US" w:eastAsia="zh-CN"/>
        </w:rPr>
        <w:t>均为含税价。</w:t>
      </w:r>
    </w:p>
    <w:p>
      <w:pPr>
        <w:spacing w:line="360" w:lineRule="auto"/>
        <w:ind w:firstLine="843" w:firstLineChars="400"/>
        <w:rPr>
          <w:rFonts w:ascii="宋体" w:hAnsi="宋体" w:eastAsia="宋体" w:cs="Times New Roman"/>
          <w:b/>
          <w:highlight w:val="none"/>
        </w:rPr>
      </w:pPr>
      <w:r>
        <w:rPr>
          <w:rFonts w:hint="eastAsia" w:ascii="宋体" w:hAnsi="宋体" w:eastAsia="宋体" w:cs="Times New Roman"/>
          <w:b/>
          <w:highlight w:val="none"/>
          <w:lang w:val="en-US" w:eastAsia="zh-CN"/>
        </w:rPr>
        <w:t>3</w:t>
      </w:r>
      <w:r>
        <w:rPr>
          <w:rFonts w:hint="eastAsia" w:ascii="宋体" w:hAnsi="宋体" w:eastAsia="宋体" w:cs="Times New Roman"/>
          <w:b/>
          <w:highlight w:val="none"/>
        </w:rPr>
        <w:t>、</w:t>
      </w:r>
      <w:r>
        <w:rPr>
          <w:rFonts w:hint="eastAsia" w:ascii="宋体" w:hAnsi="宋体" w:eastAsia="宋体" w:cs="Times New Roman"/>
          <w:b/>
          <w:highlight w:val="none"/>
          <w:lang w:val="en-US" w:eastAsia="zh-CN"/>
        </w:rPr>
        <w:t>磋商</w:t>
      </w:r>
      <w:r>
        <w:rPr>
          <w:rFonts w:hint="eastAsia" w:ascii="宋体" w:hAnsi="宋体" w:eastAsia="宋体" w:cs="Times New Roman"/>
          <w:b/>
          <w:highlight w:val="none"/>
        </w:rPr>
        <w:t>响应文件中提交的报价为首次报价，最终</w:t>
      </w:r>
      <w:r>
        <w:rPr>
          <w:rFonts w:hint="eastAsia" w:ascii="宋体" w:hAnsi="宋体" w:eastAsia="宋体" w:cs="Times New Roman"/>
          <w:b/>
          <w:highlight w:val="none"/>
          <w:lang w:val="en-US" w:eastAsia="zh-CN"/>
        </w:rPr>
        <w:t>磋商</w:t>
      </w:r>
      <w:r>
        <w:rPr>
          <w:rFonts w:hint="eastAsia" w:ascii="宋体" w:hAnsi="宋体" w:eastAsia="宋体" w:cs="Times New Roman"/>
          <w:b/>
          <w:highlight w:val="none"/>
        </w:rPr>
        <w:t>结果以最终报价为准。</w:t>
      </w:r>
    </w:p>
    <w:p>
      <w:pPr>
        <w:spacing w:line="360" w:lineRule="auto"/>
        <w:ind w:firstLine="843" w:firstLineChars="400"/>
        <w:rPr>
          <w:rFonts w:hint="eastAsia" w:ascii="宋体" w:hAnsi="宋体" w:eastAsia="宋体" w:cs="Times New Roman"/>
          <w:b/>
          <w:highlight w:val="none"/>
        </w:rPr>
      </w:pPr>
      <w:r>
        <w:rPr>
          <w:rFonts w:hint="eastAsia" w:ascii="宋体" w:hAnsi="宋体" w:eastAsia="宋体" w:cs="Times New Roman"/>
          <w:b/>
          <w:highlight w:val="none"/>
          <w:lang w:val="en-US" w:eastAsia="zh-CN"/>
        </w:rPr>
        <w:t>4</w:t>
      </w:r>
      <w:r>
        <w:rPr>
          <w:rFonts w:hint="eastAsia" w:ascii="宋体" w:hAnsi="宋体" w:eastAsia="宋体" w:cs="Times New Roman"/>
          <w:b/>
          <w:highlight w:val="none"/>
        </w:rPr>
        <w:t>、供应商二次报价需按</w:t>
      </w:r>
      <w:r>
        <w:rPr>
          <w:rFonts w:hint="eastAsia" w:ascii="宋体" w:hAnsi="宋体" w:eastAsia="宋体" w:cs="Times New Roman"/>
          <w:b/>
          <w:highlight w:val="none"/>
          <w:lang w:val="en-US" w:eastAsia="zh-CN"/>
        </w:rPr>
        <w:t>磋商</w:t>
      </w:r>
      <w:r>
        <w:rPr>
          <w:rFonts w:hint="eastAsia" w:ascii="宋体" w:hAnsi="宋体" w:eastAsia="宋体" w:cs="Times New Roman"/>
          <w:b/>
          <w:highlight w:val="none"/>
        </w:rPr>
        <w:t>报价表格式填写，在规定时间内没有做出二次报价的为无效响应。</w:t>
      </w:r>
    </w:p>
    <w:p>
      <w:pPr>
        <w:spacing w:line="360" w:lineRule="auto"/>
        <w:ind w:firstLine="843" w:firstLineChars="400"/>
        <w:rPr>
          <w:rFonts w:hint="eastAsia" w:ascii="宋体" w:hAnsi="宋体" w:eastAsia="宋体" w:cs="Times New Roman"/>
          <w:b/>
          <w:highlight w:val="none"/>
          <w:lang w:val="en-US" w:eastAsia="zh-CN"/>
        </w:rPr>
      </w:pPr>
      <w:r>
        <w:rPr>
          <w:rFonts w:hint="eastAsia" w:ascii="宋体" w:hAnsi="宋体" w:eastAsia="宋体" w:cs="Times New Roman"/>
          <w:b/>
          <w:highlight w:val="none"/>
          <w:lang w:val="en-US" w:eastAsia="zh-CN"/>
        </w:rPr>
        <w:t>5、投标人未提供二次报价表的，以初次报价为最终报价。</w:t>
      </w:r>
    </w:p>
    <w:p>
      <w:pPr>
        <w:spacing w:line="360" w:lineRule="auto"/>
        <w:ind w:firstLine="843" w:firstLineChars="400"/>
        <w:rPr>
          <w:rFonts w:hint="default" w:ascii="宋体" w:hAnsi="宋体" w:eastAsia="宋体" w:cs="Times New Roman"/>
          <w:b/>
          <w:highlight w:val="none"/>
          <w:lang w:val="en-US" w:eastAsia="zh-CN"/>
        </w:rPr>
      </w:pPr>
      <w:r>
        <w:rPr>
          <w:rFonts w:hint="eastAsia" w:ascii="宋体" w:hAnsi="宋体" w:eastAsia="宋体" w:cs="Times New Roman"/>
          <w:b/>
          <w:highlight w:val="none"/>
          <w:lang w:val="en-US" w:eastAsia="zh-CN"/>
        </w:rPr>
        <w:t>6、第二次报价高于第一次报价，则该次报价无效。同时，任意一次报价均不能高于招标控制价，否则属于无效报价。</w:t>
      </w:r>
    </w:p>
    <w:p>
      <w:pPr>
        <w:spacing w:line="360" w:lineRule="auto"/>
        <w:ind w:firstLine="843" w:firstLineChars="400"/>
        <w:rPr>
          <w:rFonts w:hint="default" w:ascii="宋体" w:hAnsi="宋体" w:eastAsia="宋体" w:cs="Times New Roman"/>
          <w:b/>
          <w:highlight w:val="none"/>
          <w:lang w:val="en-US" w:eastAsia="zh-CN"/>
        </w:rPr>
      </w:pPr>
    </w:p>
    <w:p>
      <w:pPr>
        <w:spacing w:line="360" w:lineRule="auto"/>
        <w:jc w:val="center"/>
        <w:rPr>
          <w:rFonts w:hint="eastAsia" w:ascii="宋体" w:hAnsi="宋体" w:eastAsia="宋体" w:cs="宋体"/>
          <w:spacing w:val="-1"/>
          <w:position w:val="2"/>
          <w:sz w:val="21"/>
          <w:szCs w:val="21"/>
          <w:highlight w:val="none"/>
          <w:lang w:val="en-US" w:eastAsia="zh-CN"/>
        </w:rPr>
      </w:pPr>
    </w:p>
    <w:p>
      <w:pPr>
        <w:spacing w:line="360" w:lineRule="auto"/>
        <w:jc w:val="center"/>
        <w:rPr>
          <w:rFonts w:ascii="宋体" w:hAnsi="宋体" w:cs="宋体"/>
          <w:b/>
          <w:bCs/>
          <w:color w:val="auto"/>
          <w:sz w:val="24"/>
          <w:szCs w:val="24"/>
          <w:highlight w:val="none"/>
        </w:rPr>
      </w:pPr>
    </w:p>
    <w:p>
      <w:pPr>
        <w:adjustRightInd w:val="0"/>
        <w:snapToGrid w:val="0"/>
        <w:spacing w:line="360" w:lineRule="auto"/>
        <w:rPr>
          <w:rFonts w:ascii="宋体" w:hAnsi="宋体" w:cs="宋体"/>
          <w:b/>
          <w:snapToGrid w:val="0"/>
          <w:color w:val="auto"/>
          <w:spacing w:val="12"/>
          <w:kern w:val="0"/>
          <w:sz w:val="24"/>
          <w:szCs w:val="24"/>
          <w:highlight w:val="none"/>
        </w:rPr>
      </w:pPr>
      <w:bookmarkStart w:id="43" w:name="_Toc66805782"/>
      <w:bookmarkStart w:id="44" w:name="_Toc66798268"/>
      <w:bookmarkStart w:id="45" w:name="_Toc66805997"/>
    </w:p>
    <w:p>
      <w:pPr>
        <w:adjustRightInd w:val="0"/>
        <w:snapToGrid w:val="0"/>
        <w:spacing w:line="360" w:lineRule="auto"/>
        <w:rPr>
          <w:rFonts w:ascii="宋体" w:hAnsi="宋体" w:cs="宋体"/>
          <w:b/>
          <w:snapToGrid w:val="0"/>
          <w:color w:val="auto"/>
          <w:spacing w:val="12"/>
          <w:kern w:val="0"/>
          <w:sz w:val="24"/>
          <w:szCs w:val="24"/>
          <w:highlight w:val="none"/>
        </w:rPr>
      </w:pPr>
    </w:p>
    <w:p>
      <w:pPr>
        <w:adjustRightInd w:val="0"/>
        <w:snapToGrid w:val="0"/>
        <w:spacing w:line="360" w:lineRule="auto"/>
        <w:rPr>
          <w:rFonts w:ascii="宋体" w:hAnsi="宋体" w:cs="宋体"/>
          <w:b/>
          <w:snapToGrid w:val="0"/>
          <w:color w:val="auto"/>
          <w:spacing w:val="12"/>
          <w:kern w:val="0"/>
          <w:sz w:val="24"/>
          <w:szCs w:val="24"/>
          <w:highlight w:val="none"/>
        </w:rPr>
      </w:pP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360" w:lineRule="auto"/>
        <w:jc w:val="center"/>
        <w:rPr>
          <w:rFonts w:ascii="宋体" w:hAnsi="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cs="宋体"/>
          <w:b/>
          <w:color w:val="auto"/>
          <w:sz w:val="24"/>
          <w:szCs w:val="24"/>
          <w:highlight w:val="none"/>
        </w:rPr>
        <w:t>、供应商资质证明文件</w:t>
      </w:r>
    </w:p>
    <w:p>
      <w:pPr>
        <w:pStyle w:val="37"/>
        <w:spacing w:line="360" w:lineRule="auto"/>
        <w:ind w:firstLine="480"/>
        <w:rPr>
          <w:rFonts w:eastAsia="宋体" w:cs="宋体"/>
          <w:bCs/>
          <w:color w:val="auto"/>
          <w:szCs w:val="24"/>
          <w:highlight w:val="none"/>
        </w:rPr>
      </w:pPr>
      <w:r>
        <w:rPr>
          <w:rFonts w:hint="eastAsia" w:cs="宋体"/>
          <w:color w:val="auto"/>
          <w:szCs w:val="24"/>
          <w:highlight w:val="none"/>
        </w:rPr>
        <w:t>资格审查表中要求的证明资料复印件加盖公章。</w:t>
      </w:r>
    </w:p>
    <w:p>
      <w:pPr>
        <w:pStyle w:val="37"/>
        <w:ind w:firstLine="480"/>
        <w:rPr>
          <w:rFonts w:eastAsia="宋体" w:cs="宋体"/>
          <w:bCs/>
          <w:color w:val="auto"/>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pStyle w:val="37"/>
        <w:ind w:firstLine="480"/>
        <w:rPr>
          <w:color w:val="auto"/>
          <w:szCs w:val="24"/>
          <w:highlight w:val="none"/>
        </w:rPr>
      </w:pPr>
    </w:p>
    <w:p>
      <w:pPr>
        <w:pStyle w:val="37"/>
        <w:ind w:firstLine="482"/>
        <w:rPr>
          <w:rFonts w:cs="宋体"/>
          <w:b/>
          <w:color w:val="auto"/>
          <w:szCs w:val="24"/>
          <w:highlight w:val="none"/>
        </w:rPr>
      </w:pPr>
    </w:p>
    <w:p>
      <w:pPr>
        <w:pStyle w:val="37"/>
        <w:ind w:firstLine="482"/>
        <w:rPr>
          <w:rFonts w:cs="宋体"/>
          <w:b/>
          <w:color w:val="auto"/>
          <w:szCs w:val="24"/>
          <w:highlight w:val="none"/>
        </w:rPr>
      </w:pPr>
    </w:p>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五</w:t>
      </w:r>
      <w:r>
        <w:rPr>
          <w:rFonts w:hint="eastAsia" w:ascii="宋体" w:hAnsi="宋体" w:cs="宋体"/>
          <w:b/>
          <w:color w:val="auto"/>
          <w:sz w:val="24"/>
          <w:szCs w:val="24"/>
          <w:highlight w:val="none"/>
        </w:rPr>
        <w:t>、辅助资料</w:t>
      </w:r>
    </w:p>
    <w:p>
      <w:pPr>
        <w:adjustRightInd w:val="0"/>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供应商基本情况表</w:t>
      </w:r>
    </w:p>
    <w:tbl>
      <w:tblPr>
        <w:tblStyle w:val="20"/>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766"/>
        <w:gridCol w:w="1212"/>
        <w:gridCol w:w="24"/>
        <w:gridCol w:w="26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供应商名称</w:t>
            </w:r>
          </w:p>
        </w:tc>
        <w:tc>
          <w:tcPr>
            <w:tcW w:w="7697" w:type="dxa"/>
            <w:gridSpan w:val="6"/>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注册地址</w:t>
            </w:r>
          </w:p>
        </w:tc>
        <w:tc>
          <w:tcPr>
            <w:tcW w:w="3846" w:type="dxa"/>
            <w:gridSpan w:val="3"/>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邮政编码</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联系方式</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联系人</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spacing w:line="360" w:lineRule="auto"/>
              <w:jc w:val="center"/>
              <w:rPr>
                <w:rFonts w:ascii="宋体"/>
                <w:color w:val="auto"/>
                <w:kern w:val="0"/>
                <w:highlight w:val="none"/>
              </w:rPr>
            </w:pPr>
          </w:p>
        </w:tc>
        <w:tc>
          <w:tcPr>
            <w:tcW w:w="1010" w:type="dxa"/>
            <w:vAlign w:val="center"/>
          </w:tcPr>
          <w:p>
            <w:pPr>
              <w:tabs>
                <w:tab w:val="left" w:pos="540"/>
              </w:tabs>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传真</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电子邮件</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法定代表人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技术负责人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成立时间</w:t>
            </w:r>
          </w:p>
        </w:tc>
        <w:tc>
          <w:tcPr>
            <w:tcW w:w="2080" w:type="dxa"/>
            <w:gridSpan w:val="2"/>
            <w:vAlign w:val="center"/>
          </w:tcPr>
          <w:p>
            <w:pPr>
              <w:autoSpaceDE w:val="0"/>
              <w:autoSpaceDN w:val="0"/>
              <w:adjustRightInd w:val="0"/>
              <w:spacing w:line="360" w:lineRule="auto"/>
              <w:jc w:val="center"/>
              <w:rPr>
                <w:rFonts w:ascii="宋体"/>
                <w:color w:val="auto"/>
                <w:kern w:val="0"/>
                <w:highlight w:val="none"/>
              </w:rPr>
            </w:pPr>
          </w:p>
        </w:tc>
        <w:tc>
          <w:tcPr>
            <w:tcW w:w="5617" w:type="dxa"/>
            <w:gridSpan w:val="4"/>
            <w:vAlign w:val="center"/>
          </w:tcPr>
          <w:p>
            <w:pPr>
              <w:autoSpaceDE w:val="0"/>
              <w:autoSpaceDN w:val="0"/>
              <w:adjustRightInd w:val="0"/>
              <w:spacing w:line="360" w:lineRule="auto"/>
              <w:ind w:left="105" w:leftChars="50"/>
              <w:jc w:val="center"/>
              <w:rPr>
                <w:rFonts w:ascii="宋体"/>
                <w:color w:val="auto"/>
                <w:kern w:val="0"/>
                <w:highlight w:val="none"/>
                <w:u w:val="single"/>
              </w:rPr>
            </w:pPr>
            <w:r>
              <w:rPr>
                <w:rFonts w:hint="eastAsia" w:ascii="宋体" w:hAnsi="宋体"/>
                <w:color w:val="auto"/>
                <w:kern w:val="0"/>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营业执照号</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注册资金</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基本账户开户银行</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基本账户账号</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经营范围</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备注</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bl>
    <w:p>
      <w:pPr>
        <w:pStyle w:val="37"/>
        <w:ind w:firstLine="482"/>
        <w:rPr>
          <w:rFonts w:cs="宋体"/>
          <w:b/>
          <w:color w:val="auto"/>
          <w:szCs w:val="24"/>
          <w:highlight w:val="none"/>
        </w:rPr>
      </w:pPr>
    </w:p>
    <w:bookmarkEnd w:id="43"/>
    <w:bookmarkEnd w:id="44"/>
    <w:bookmarkEnd w:id="45"/>
    <w:p>
      <w:pPr>
        <w:pStyle w:val="37"/>
        <w:ind w:firstLine="482"/>
        <w:rPr>
          <w:rFonts w:cs="宋体"/>
          <w:b/>
          <w:color w:val="auto"/>
          <w:szCs w:val="24"/>
          <w:highlight w:val="none"/>
        </w:rPr>
      </w:pPr>
    </w:p>
    <w:p>
      <w:pPr>
        <w:autoSpaceDE w:val="0"/>
        <w:autoSpaceDN w:val="0"/>
        <w:adjustRightInd w:val="0"/>
        <w:snapToGrid w:val="0"/>
        <w:spacing w:line="360" w:lineRule="auto"/>
        <w:ind w:left="6926" w:leftChars="2784" w:hanging="1080" w:hangingChars="4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p>
      <w:pPr>
        <w:autoSpaceDE w:val="0"/>
        <w:autoSpaceDN w:val="0"/>
        <w:adjustRightInd w:val="0"/>
        <w:snapToGrid w:val="0"/>
        <w:spacing w:line="360" w:lineRule="auto"/>
        <w:ind w:left="6720" w:hanging="6720" w:hangingChars="2800"/>
        <w:jc w:val="right"/>
        <w:rPr>
          <w:rFonts w:ascii="仿宋_GB2312"/>
          <w:color w:val="auto"/>
          <w:kern w:val="0"/>
          <w:sz w:val="24"/>
          <w:szCs w:val="24"/>
          <w:highlight w:val="none"/>
        </w:rPr>
      </w:pPr>
      <w:r>
        <w:rPr>
          <w:rFonts w:hint="eastAsia" w:ascii="宋体" w:hAnsi="宋体" w:eastAsia="宋体" w:cs="宋体"/>
          <w:color w:val="auto"/>
          <w:kern w:val="0"/>
          <w:sz w:val="24"/>
          <w:szCs w:val="24"/>
          <w:highlight w:val="none"/>
        </w:rPr>
        <w:t>年   月   日</w:t>
      </w:r>
    </w:p>
    <w:p>
      <w:pPr>
        <w:adjustRightInd w:val="0"/>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numPr>
          <w:ilvl w:val="0"/>
          <w:numId w:val="6"/>
        </w:numPr>
        <w:adjustRightInd w:val="0"/>
        <w:snapToGrid w:val="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投标偏离表</w:t>
      </w: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spacing w:line="360" w:lineRule="auto"/>
        <w:jc w:val="center"/>
        <w:rPr>
          <w:rStyle w:val="60"/>
          <w:rFonts w:ascii="宋体" w:hAnsi="宋体"/>
          <w:b/>
          <w:bCs/>
          <w:kern w:val="0"/>
          <w:sz w:val="24"/>
        </w:rPr>
      </w:pPr>
      <w:r>
        <w:rPr>
          <w:rStyle w:val="60"/>
          <w:rFonts w:hint="eastAsia" w:ascii="宋体" w:hAnsi="宋体" w:eastAsia="宋体"/>
          <w:b/>
          <w:bCs/>
          <w:kern w:val="0"/>
          <w:sz w:val="24"/>
          <w:lang w:eastAsia="zh-CN"/>
        </w:rPr>
        <w:t>（</w:t>
      </w:r>
      <w:r>
        <w:rPr>
          <w:rStyle w:val="60"/>
          <w:rFonts w:hint="eastAsia" w:ascii="宋体" w:hAnsi="宋体" w:eastAsia="宋体"/>
          <w:b/>
          <w:bCs/>
          <w:kern w:val="0"/>
          <w:sz w:val="24"/>
          <w:lang w:val="en-US" w:eastAsia="zh-CN"/>
        </w:rPr>
        <w:t>一</w:t>
      </w:r>
      <w:r>
        <w:rPr>
          <w:rStyle w:val="60"/>
          <w:rFonts w:hint="eastAsia" w:ascii="宋体" w:hAnsi="宋体" w:eastAsia="宋体"/>
          <w:b/>
          <w:bCs/>
          <w:kern w:val="0"/>
          <w:sz w:val="24"/>
          <w:lang w:eastAsia="zh-CN"/>
        </w:rPr>
        <w:t>）</w:t>
      </w:r>
      <w:r>
        <w:rPr>
          <w:rStyle w:val="60"/>
          <w:rFonts w:hint="eastAsia" w:ascii="宋体" w:hAnsi="宋体"/>
          <w:b/>
          <w:bCs/>
          <w:kern w:val="0"/>
          <w:sz w:val="24"/>
        </w:rPr>
        <w:t>商务偏离表</w:t>
      </w:r>
    </w:p>
    <w:p>
      <w:pPr>
        <w:spacing w:line="360" w:lineRule="auto"/>
        <w:rPr>
          <w:rStyle w:val="60"/>
          <w:rFonts w:hint="eastAsia" w:ascii="宋体" w:hAnsi="宋体"/>
          <w:sz w:val="24"/>
        </w:rPr>
      </w:pPr>
      <w:r>
        <w:rPr>
          <w:rStyle w:val="60"/>
          <w:rFonts w:ascii="宋体" w:hAnsi="宋体"/>
          <w:kern w:val="0"/>
          <w:sz w:val="24"/>
        </w:rPr>
        <w:t>项目名称：</w:t>
      </w:r>
    </w:p>
    <w:p>
      <w:pPr>
        <w:spacing w:line="360" w:lineRule="auto"/>
        <w:ind w:right="1080"/>
        <w:rPr>
          <w:rStyle w:val="60"/>
          <w:rFonts w:hint="eastAsia" w:ascii="宋体" w:hAnsi="宋体"/>
          <w:kern w:val="0"/>
          <w:sz w:val="24"/>
        </w:rPr>
      </w:pPr>
      <w:r>
        <w:rPr>
          <w:rStyle w:val="60"/>
          <w:rFonts w:ascii="宋体" w:hAnsi="宋体"/>
          <w:kern w:val="0"/>
          <w:sz w:val="24"/>
        </w:rPr>
        <w:t>项目编号：</w:t>
      </w:r>
    </w:p>
    <w:tbl>
      <w:tblPr>
        <w:tblStyle w:val="20"/>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567"/>
        <w:gridCol w:w="1650"/>
        <w:gridCol w:w="1500"/>
        <w:gridCol w:w="1966"/>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8806" w:type="dxa"/>
            <w:gridSpan w:val="6"/>
            <w:noWrap w:val="0"/>
            <w:vAlign w:val="top"/>
          </w:tcPr>
          <w:p>
            <w:pPr>
              <w:pStyle w:val="70"/>
              <w:spacing w:line="360" w:lineRule="auto"/>
              <w:rPr>
                <w:rFonts w:hint="eastAsia" w:hAnsi="宋体" w:cs="宋体"/>
                <w:sz w:val="24"/>
                <w:szCs w:val="24"/>
              </w:rPr>
            </w:pPr>
            <w:r>
              <w:rPr>
                <w:rFonts w:hint="eastAsia" w:hAnsi="宋体" w:cs="宋体"/>
                <w:sz w:val="24"/>
                <w:szCs w:val="24"/>
              </w:rPr>
              <w:t>对本项目商务条款的偏离情况（请进行勾选）：</w:t>
            </w:r>
          </w:p>
          <w:p>
            <w:pPr>
              <w:pStyle w:val="70"/>
              <w:spacing w:line="360" w:lineRule="auto"/>
              <w:rPr>
                <w:rFonts w:hint="eastAsia" w:hAnsi="宋体" w:cs="宋体"/>
                <w:sz w:val="24"/>
                <w:szCs w:val="24"/>
              </w:rPr>
            </w:pPr>
            <w:r>
              <w:rPr>
                <w:rFonts w:hint="eastAsia" w:hAnsi="宋体" w:cs="宋体"/>
                <w:sz w:val="24"/>
                <w:szCs w:val="24"/>
              </w:rPr>
              <w:t>□无偏离（如无偏离，仅勾选无偏离即可）</w:t>
            </w:r>
          </w:p>
          <w:p>
            <w:pPr>
              <w:pStyle w:val="70"/>
              <w:spacing w:line="360" w:lineRule="auto"/>
              <w:rPr>
                <w:szCs w:val="28"/>
              </w:rPr>
            </w:pPr>
            <w:r>
              <w:rPr>
                <w:rFonts w:hint="eastAsia" w:hAnsi="宋体" w:cs="宋体"/>
                <w:sz w:val="24"/>
                <w:szCs w:val="24"/>
              </w:rPr>
              <w:t>□有偏离（如有偏离，则应在本表中对偏离项逐一列明）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806" w:type="dxa"/>
            <w:tcBorders>
              <w:right w:val="single" w:color="000000" w:sz="2" w:space="0"/>
            </w:tcBorders>
            <w:noWrap w:val="0"/>
            <w:vAlign w:val="center"/>
          </w:tcPr>
          <w:p>
            <w:pPr>
              <w:pStyle w:val="67"/>
              <w:spacing w:before="16"/>
              <w:ind w:left="35"/>
              <w:jc w:val="center"/>
              <w:outlineLvl w:val="2"/>
            </w:pPr>
            <w:r>
              <w:t>序</w:t>
            </w:r>
          </w:p>
          <w:p>
            <w:pPr>
              <w:pStyle w:val="67"/>
              <w:spacing w:before="15"/>
              <w:ind w:left="43"/>
              <w:jc w:val="center"/>
            </w:pPr>
            <w:r>
              <w:t>号</w:t>
            </w:r>
          </w:p>
        </w:tc>
        <w:tc>
          <w:tcPr>
            <w:tcW w:w="1567" w:type="dxa"/>
            <w:tcBorders>
              <w:left w:val="single" w:color="000000" w:sz="2" w:space="0"/>
            </w:tcBorders>
            <w:noWrap w:val="0"/>
            <w:vAlign w:val="center"/>
          </w:tcPr>
          <w:p>
            <w:pPr>
              <w:pStyle w:val="67"/>
              <w:spacing w:before="239"/>
              <w:ind w:left="33"/>
              <w:jc w:val="center"/>
              <w:outlineLvl w:val="2"/>
              <w:rPr>
                <w:lang w:eastAsia="zh-CN"/>
              </w:rPr>
            </w:pPr>
            <w:r>
              <w:rPr>
                <w:rFonts w:hint="eastAsia"/>
                <w:lang w:eastAsia="zh-CN"/>
              </w:rPr>
              <w:t>招标文件条款</w:t>
            </w:r>
          </w:p>
        </w:tc>
        <w:tc>
          <w:tcPr>
            <w:tcW w:w="1650" w:type="dxa"/>
            <w:noWrap w:val="0"/>
            <w:vAlign w:val="center"/>
          </w:tcPr>
          <w:p>
            <w:pPr>
              <w:pStyle w:val="67"/>
              <w:spacing w:before="15"/>
              <w:jc w:val="center"/>
              <w:rPr>
                <w:lang w:eastAsia="zh-CN"/>
              </w:rPr>
            </w:pPr>
            <w:r>
              <w:rPr>
                <w:rFonts w:hint="eastAsia"/>
                <w:lang w:eastAsia="zh-CN"/>
              </w:rPr>
              <w:t>招标文件要求</w:t>
            </w:r>
          </w:p>
        </w:tc>
        <w:tc>
          <w:tcPr>
            <w:tcW w:w="1500" w:type="dxa"/>
            <w:noWrap w:val="0"/>
            <w:vAlign w:val="center"/>
          </w:tcPr>
          <w:p>
            <w:pPr>
              <w:pStyle w:val="67"/>
              <w:spacing w:before="16"/>
              <w:ind w:left="34"/>
              <w:jc w:val="center"/>
              <w:outlineLvl w:val="2"/>
            </w:pPr>
            <w:r>
              <w:rPr>
                <w:spacing w:val="3"/>
              </w:rPr>
              <w:t>投标文件</w:t>
            </w:r>
          </w:p>
          <w:p>
            <w:pPr>
              <w:pStyle w:val="67"/>
              <w:spacing w:before="15"/>
              <w:ind w:left="45"/>
              <w:jc w:val="center"/>
            </w:pPr>
            <w:r>
              <w:rPr>
                <w:spacing w:val="-7"/>
              </w:rPr>
              <w:t>响应</w:t>
            </w:r>
            <w:r>
              <w:rPr>
                <w:rFonts w:hint="eastAsia"/>
                <w:spacing w:val="-7"/>
              </w:rPr>
              <w:t>情况</w:t>
            </w:r>
          </w:p>
        </w:tc>
        <w:tc>
          <w:tcPr>
            <w:tcW w:w="1966" w:type="dxa"/>
            <w:noWrap w:val="0"/>
            <w:vAlign w:val="center"/>
          </w:tcPr>
          <w:p>
            <w:pPr>
              <w:pStyle w:val="67"/>
              <w:spacing w:before="239"/>
              <w:ind w:left="32"/>
              <w:jc w:val="center"/>
              <w:outlineLvl w:val="2"/>
              <w:rPr>
                <w:spacing w:val="-8"/>
              </w:rPr>
            </w:pPr>
            <w:r>
              <w:rPr>
                <w:spacing w:val="-8"/>
              </w:rPr>
              <w:t>偏 离 情 况</w:t>
            </w:r>
          </w:p>
          <w:p>
            <w:pPr>
              <w:pStyle w:val="67"/>
              <w:spacing w:before="17"/>
              <w:ind w:left="41"/>
              <w:jc w:val="center"/>
            </w:pPr>
            <w:r>
              <w:rPr>
                <w:spacing w:val="15"/>
              </w:rPr>
              <w:t>（优于、低</w:t>
            </w:r>
            <w:r>
              <w:rPr>
                <w:spacing w:val="-8"/>
              </w:rPr>
              <w:t>于）</w:t>
            </w:r>
          </w:p>
        </w:tc>
        <w:tc>
          <w:tcPr>
            <w:tcW w:w="1317" w:type="dxa"/>
            <w:noWrap w:val="0"/>
            <w:vAlign w:val="center"/>
          </w:tcPr>
          <w:p>
            <w:pPr>
              <w:pStyle w:val="67"/>
              <w:spacing w:before="16"/>
              <w:ind w:left="39"/>
              <w:jc w:val="center"/>
              <w:outlineLvl w:val="2"/>
            </w:pPr>
            <w:r>
              <w:rPr>
                <w:spacing w:val="8"/>
              </w:rPr>
              <w:t>备注（简要注明偏离的</w:t>
            </w:r>
            <w:r>
              <w:rPr>
                <w:spacing w:val="-6"/>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rPr>
              <w:t>1</w:t>
            </w:r>
          </w:p>
        </w:tc>
        <w:tc>
          <w:tcPr>
            <w:tcW w:w="1567" w:type="dxa"/>
            <w:tcBorders>
              <w:left w:val="single" w:color="000000" w:sz="2" w:space="0"/>
            </w:tcBorders>
            <w:noWrap w:val="0"/>
            <w:vAlign w:val="center"/>
          </w:tcPr>
          <w:p>
            <w:pPr>
              <w:snapToGrid w:val="0"/>
              <w:spacing w:line="360" w:lineRule="auto"/>
              <w:ind w:left="-7" w:leftChars="-19" w:hanging="33" w:hangingChars="16"/>
              <w:jc w:val="center"/>
              <w:rPr>
                <w:rFonts w:ascii="Arial"/>
                <w:highlight w:val="magenta"/>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rPr>
              <w:t>2</w:t>
            </w:r>
          </w:p>
        </w:tc>
        <w:tc>
          <w:tcPr>
            <w:tcW w:w="1567" w:type="dxa"/>
            <w:tcBorders>
              <w:left w:val="single" w:color="000000" w:sz="2" w:space="0"/>
            </w:tcBorders>
            <w:noWrap w:val="0"/>
            <w:vAlign w:val="center"/>
          </w:tcPr>
          <w:p>
            <w:pPr>
              <w:snapToGrid w:val="0"/>
              <w:spacing w:line="360" w:lineRule="auto"/>
              <w:ind w:left="-7" w:leftChars="-19" w:hanging="33" w:hangingChars="16"/>
              <w:jc w:val="center"/>
              <w:rPr>
                <w:rFonts w:hint="eastAsia" w:ascii="Arial"/>
                <w:highlight w:val="magenta"/>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rPr>
              <w:t>3</w:t>
            </w:r>
          </w:p>
        </w:tc>
        <w:tc>
          <w:tcPr>
            <w:tcW w:w="1567" w:type="dxa"/>
            <w:tcBorders>
              <w:left w:val="single" w:color="000000" w:sz="2" w:space="0"/>
            </w:tcBorders>
            <w:noWrap w:val="0"/>
            <w:vAlign w:val="center"/>
          </w:tcPr>
          <w:p>
            <w:pPr>
              <w:snapToGrid w:val="0"/>
              <w:spacing w:line="360" w:lineRule="auto"/>
              <w:jc w:val="center"/>
              <w:rPr>
                <w:rFonts w:hint="eastAsia" w:ascii="Arial"/>
                <w:highlight w:val="magenta"/>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sz w:val="24"/>
                <w:szCs w:val="24"/>
              </w:rPr>
              <w:t>...</w:t>
            </w:r>
          </w:p>
        </w:tc>
        <w:tc>
          <w:tcPr>
            <w:tcW w:w="1567" w:type="dxa"/>
            <w:tcBorders>
              <w:left w:val="single" w:color="000000" w:sz="2" w:space="0"/>
            </w:tcBorders>
            <w:noWrap w:val="0"/>
            <w:vAlign w:val="center"/>
          </w:tcPr>
          <w:p>
            <w:pPr>
              <w:autoSpaceDE w:val="0"/>
              <w:autoSpaceDN w:val="0"/>
              <w:adjustRightInd w:val="0"/>
              <w:spacing w:line="360" w:lineRule="auto"/>
              <w:jc w:val="center"/>
              <w:rPr>
                <w:rFonts w:hint="eastAsia" w:ascii="宋体" w:hAnsi="宋体" w:cs="宋体"/>
                <w:sz w:val="24"/>
                <w:szCs w:val="24"/>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bl>
    <w:p>
      <w:pPr>
        <w:spacing w:before="241" w:line="220" w:lineRule="auto"/>
        <w:ind w:firstLine="480" w:firstLineChars="200"/>
        <w:jc w:val="left"/>
        <w:outlineLvl w:val="2"/>
        <w:rPr>
          <w:rFonts w:ascii="宋体" w:hAnsi="宋体" w:cs="宋体"/>
          <w:sz w:val="28"/>
          <w:szCs w:val="28"/>
        </w:rPr>
      </w:pPr>
      <w:r>
        <w:rPr>
          <w:rFonts w:ascii="宋体" w:hAnsi="宋体" w:cs="宋体"/>
          <w:sz w:val="24"/>
          <w:szCs w:val="24"/>
        </w:rPr>
        <w:t>注：表格不足可续填。投标文件对应参数、</w:t>
      </w:r>
      <w:r>
        <w:rPr>
          <w:rFonts w:ascii="宋体" w:hAnsi="宋体" w:cs="宋体"/>
          <w:spacing w:val="-1"/>
          <w:sz w:val="24"/>
          <w:szCs w:val="24"/>
        </w:rPr>
        <w:t>指标应按实际情况填写。</w:t>
      </w:r>
    </w:p>
    <w:p>
      <w:pPr>
        <w:adjustRightInd w:val="0"/>
        <w:snapToGrid w:val="0"/>
        <w:spacing w:line="360" w:lineRule="auto"/>
        <w:outlineLvl w:val="1"/>
        <w:rPr>
          <w:rFonts w:hint="eastAsia" w:ascii="宋体" w:hAnsi="宋体" w:cs="宋体"/>
          <w:b/>
          <w:spacing w:val="12"/>
          <w:szCs w:val="21"/>
        </w:rPr>
      </w:pPr>
    </w:p>
    <w:p>
      <w:pPr>
        <w:adjustRightInd w:val="0"/>
        <w:snapToGrid w:val="0"/>
        <w:spacing w:line="360" w:lineRule="auto"/>
        <w:outlineLvl w:val="1"/>
        <w:rPr>
          <w:rFonts w:hint="eastAsia" w:ascii="宋体" w:hAnsi="宋体" w:cs="宋体"/>
          <w:b/>
          <w:spacing w:val="12"/>
          <w:szCs w:val="21"/>
        </w:rPr>
      </w:pPr>
    </w:p>
    <w:p>
      <w:pPr>
        <w:spacing w:line="360" w:lineRule="auto"/>
        <w:rPr>
          <w:rStyle w:val="60"/>
          <w:rFonts w:ascii="宋体" w:hAnsi="宋体"/>
          <w:kern w:val="0"/>
          <w:sz w:val="24"/>
        </w:rPr>
      </w:pPr>
      <w:r>
        <w:rPr>
          <w:rStyle w:val="60"/>
          <w:rFonts w:ascii="宋体" w:hAnsi="宋体"/>
          <w:kern w:val="0"/>
          <w:sz w:val="24"/>
        </w:rPr>
        <w:t xml:space="preserve"> </w:t>
      </w:r>
      <w:r>
        <w:rPr>
          <w:rStyle w:val="60"/>
          <w:rFonts w:hint="eastAsia" w:ascii="宋体" w:hAnsi="宋体"/>
          <w:kern w:val="0"/>
          <w:sz w:val="24"/>
        </w:rPr>
        <w:t xml:space="preserve">  </w:t>
      </w:r>
      <w:r>
        <w:rPr>
          <w:rStyle w:val="60"/>
          <w:rFonts w:ascii="宋体" w:hAnsi="宋体"/>
          <w:kern w:val="0"/>
          <w:sz w:val="24"/>
        </w:rPr>
        <w:t xml:space="preserve"> </w:t>
      </w:r>
      <w:r>
        <w:rPr>
          <w:rFonts w:hint="eastAsia" w:ascii="宋体" w:hAnsi="宋体" w:cs="宋体"/>
          <w:sz w:val="24"/>
        </w:rPr>
        <w:t>投标人</w:t>
      </w:r>
      <w:r>
        <w:rPr>
          <w:rStyle w:val="60"/>
          <w:rFonts w:ascii="宋体" w:hAnsi="宋体"/>
          <w:kern w:val="0"/>
          <w:sz w:val="24"/>
        </w:rPr>
        <w:t>名称：</w:t>
      </w:r>
      <w:r>
        <w:rPr>
          <w:rStyle w:val="60"/>
          <w:rFonts w:hint="eastAsia" w:ascii="宋体" w:hAnsi="宋体"/>
          <w:kern w:val="0"/>
          <w:sz w:val="24"/>
          <w:u w:val="single"/>
        </w:rPr>
        <w:t xml:space="preserve">                   </w:t>
      </w:r>
      <w:r>
        <w:rPr>
          <w:rStyle w:val="60"/>
          <w:rFonts w:ascii="宋体" w:hAnsi="宋体"/>
          <w:kern w:val="0"/>
          <w:sz w:val="24"/>
        </w:rPr>
        <w:t>（盖章）</w:t>
      </w:r>
    </w:p>
    <w:p>
      <w:pPr>
        <w:spacing w:line="360" w:lineRule="auto"/>
        <w:rPr>
          <w:rStyle w:val="60"/>
          <w:rFonts w:ascii="宋体" w:hAnsi="宋体"/>
          <w:kern w:val="0"/>
          <w:sz w:val="24"/>
        </w:rPr>
      </w:pPr>
      <w:r>
        <w:rPr>
          <w:rStyle w:val="60"/>
          <w:rFonts w:ascii="宋体" w:hAnsi="宋体"/>
          <w:kern w:val="0"/>
          <w:sz w:val="24"/>
        </w:rPr>
        <w:t xml:space="preserve">    法定代表人</w:t>
      </w:r>
      <w:r>
        <w:rPr>
          <w:rStyle w:val="60"/>
          <w:rFonts w:hint="eastAsia" w:ascii="宋体" w:hAnsi="宋体"/>
          <w:kern w:val="0"/>
          <w:sz w:val="24"/>
        </w:rPr>
        <w:t>或委托代理人</w:t>
      </w:r>
      <w:r>
        <w:rPr>
          <w:rStyle w:val="60"/>
          <w:rFonts w:ascii="宋体" w:hAnsi="宋体"/>
          <w:kern w:val="0"/>
          <w:sz w:val="24"/>
        </w:rPr>
        <w:t>：</w:t>
      </w:r>
      <w:r>
        <w:rPr>
          <w:rStyle w:val="60"/>
          <w:rFonts w:hint="eastAsia" w:ascii="宋体" w:hAnsi="宋体"/>
          <w:kern w:val="0"/>
          <w:sz w:val="24"/>
          <w:u w:val="single"/>
        </w:rPr>
        <w:t xml:space="preserve">       </w:t>
      </w:r>
      <w:r>
        <w:rPr>
          <w:rStyle w:val="60"/>
          <w:rFonts w:ascii="宋体" w:hAnsi="宋体"/>
          <w:kern w:val="0"/>
          <w:sz w:val="24"/>
        </w:rPr>
        <w:t>（签字或</w:t>
      </w:r>
      <w:r>
        <w:rPr>
          <w:rStyle w:val="60"/>
          <w:rFonts w:hint="eastAsia" w:ascii="宋体" w:hAnsi="宋体"/>
          <w:kern w:val="0"/>
          <w:sz w:val="24"/>
        </w:rPr>
        <w:t>盖章</w:t>
      </w:r>
      <w:r>
        <w:rPr>
          <w:rStyle w:val="60"/>
          <w:rFonts w:ascii="宋体" w:hAnsi="宋体"/>
          <w:kern w:val="0"/>
          <w:sz w:val="24"/>
        </w:rPr>
        <w:t>）</w:t>
      </w:r>
    </w:p>
    <w:p>
      <w:pPr>
        <w:spacing w:line="360" w:lineRule="auto"/>
        <w:ind w:right="480" w:firstLine="480"/>
        <w:rPr>
          <w:rStyle w:val="60"/>
          <w:rFonts w:ascii="宋体" w:hAnsi="宋体"/>
          <w:kern w:val="0"/>
          <w:sz w:val="24"/>
        </w:rPr>
      </w:pPr>
      <w:r>
        <w:rPr>
          <w:rStyle w:val="60"/>
          <w:rFonts w:ascii="宋体" w:hAnsi="宋体"/>
          <w:kern w:val="0"/>
          <w:sz w:val="24"/>
        </w:rPr>
        <w:t>日</w:t>
      </w:r>
      <w:r>
        <w:rPr>
          <w:rStyle w:val="60"/>
          <w:rFonts w:hint="eastAsia" w:ascii="宋体" w:hAnsi="宋体"/>
          <w:kern w:val="0"/>
          <w:sz w:val="24"/>
        </w:rPr>
        <w:t xml:space="preserve">      </w:t>
      </w:r>
      <w:r>
        <w:rPr>
          <w:rStyle w:val="60"/>
          <w:rFonts w:ascii="宋体" w:hAnsi="宋体"/>
          <w:kern w:val="0"/>
          <w:sz w:val="24"/>
        </w:rPr>
        <w:t>期：</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ascii="宋体" w:hAnsi="宋体"/>
          <w:kern w:val="0"/>
          <w:sz w:val="24"/>
        </w:rPr>
        <w:t>年</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ascii="宋体" w:hAnsi="宋体"/>
          <w:kern w:val="0"/>
          <w:sz w:val="24"/>
        </w:rPr>
        <w:t>月</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ascii="宋体" w:hAnsi="宋体"/>
          <w:kern w:val="0"/>
          <w:sz w:val="24"/>
        </w:rPr>
        <w:t>日</w:t>
      </w: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spacing w:line="360" w:lineRule="auto"/>
        <w:jc w:val="center"/>
        <w:rPr>
          <w:rStyle w:val="60"/>
          <w:rFonts w:hint="default" w:ascii="宋体" w:hAnsi="宋体" w:eastAsia="宋体" w:cs="Times New Roman"/>
          <w:b/>
          <w:bCs/>
          <w:kern w:val="0"/>
          <w:sz w:val="24"/>
          <w:lang w:val="en-US" w:eastAsia="zh-CN"/>
        </w:rPr>
      </w:pPr>
      <w:r>
        <w:rPr>
          <w:rStyle w:val="60"/>
          <w:rFonts w:hint="eastAsia" w:ascii="宋体" w:hAnsi="宋体" w:eastAsia="宋体"/>
          <w:b/>
          <w:bCs/>
          <w:kern w:val="0"/>
          <w:sz w:val="24"/>
          <w:lang w:eastAsia="zh-CN"/>
        </w:rPr>
        <w:t>（</w:t>
      </w:r>
      <w:r>
        <w:rPr>
          <w:rStyle w:val="60"/>
          <w:rFonts w:hint="eastAsia" w:ascii="宋体" w:hAnsi="宋体" w:eastAsia="宋体"/>
          <w:b/>
          <w:bCs/>
          <w:kern w:val="0"/>
          <w:sz w:val="24"/>
          <w:lang w:val="en-US" w:eastAsia="zh-CN"/>
        </w:rPr>
        <w:t>二</w:t>
      </w:r>
      <w:r>
        <w:rPr>
          <w:rStyle w:val="60"/>
          <w:rFonts w:hint="eastAsia" w:ascii="宋体" w:hAnsi="宋体" w:eastAsia="宋体"/>
          <w:b/>
          <w:bCs/>
          <w:kern w:val="0"/>
          <w:sz w:val="24"/>
          <w:lang w:eastAsia="zh-CN"/>
        </w:rPr>
        <w:t>）</w:t>
      </w:r>
      <w:r>
        <w:rPr>
          <w:rStyle w:val="60"/>
          <w:rFonts w:hint="eastAsia" w:ascii="宋体" w:hAnsi="宋体" w:eastAsia="宋体" w:cs="Times New Roman"/>
          <w:b/>
          <w:bCs/>
          <w:kern w:val="0"/>
          <w:sz w:val="24"/>
          <w:lang w:val="en-US" w:eastAsia="zh-CN"/>
        </w:rPr>
        <w:t>建设清单偏离表</w:t>
      </w:r>
    </w:p>
    <w:p>
      <w:pPr>
        <w:spacing w:line="360" w:lineRule="auto"/>
        <w:rPr>
          <w:rStyle w:val="60"/>
          <w:rFonts w:ascii="宋体" w:hAnsi="宋体"/>
          <w:kern w:val="0"/>
          <w:sz w:val="24"/>
          <w:highlight w:val="none"/>
        </w:rPr>
      </w:pPr>
    </w:p>
    <w:p>
      <w:pPr>
        <w:spacing w:line="360" w:lineRule="auto"/>
        <w:rPr>
          <w:rStyle w:val="60"/>
          <w:rFonts w:hint="eastAsia" w:ascii="宋体" w:hAnsi="宋体"/>
          <w:sz w:val="24"/>
          <w:highlight w:val="none"/>
        </w:rPr>
      </w:pPr>
      <w:r>
        <w:rPr>
          <w:rStyle w:val="60"/>
          <w:rFonts w:ascii="宋体" w:hAnsi="宋体"/>
          <w:kern w:val="0"/>
          <w:sz w:val="24"/>
          <w:highlight w:val="none"/>
        </w:rPr>
        <w:t>项目名称：</w:t>
      </w:r>
    </w:p>
    <w:p>
      <w:pPr>
        <w:spacing w:line="360" w:lineRule="auto"/>
        <w:ind w:right="1080"/>
        <w:rPr>
          <w:rStyle w:val="60"/>
          <w:rFonts w:hint="eastAsia" w:ascii="宋体" w:hAnsi="宋体"/>
          <w:kern w:val="0"/>
          <w:sz w:val="24"/>
          <w:highlight w:val="none"/>
        </w:rPr>
      </w:pPr>
      <w:r>
        <w:rPr>
          <w:rStyle w:val="60"/>
          <w:rFonts w:ascii="宋体" w:hAnsi="宋体"/>
          <w:kern w:val="0"/>
          <w:sz w:val="24"/>
          <w:highlight w:val="none"/>
        </w:rPr>
        <w:t>项目编号：</w:t>
      </w:r>
    </w:p>
    <w:tbl>
      <w:tblPr>
        <w:tblStyle w:val="20"/>
        <w:tblW w:w="9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394"/>
        <w:gridCol w:w="1367"/>
        <w:gridCol w:w="1666"/>
        <w:gridCol w:w="2134"/>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9017" w:type="dxa"/>
            <w:gridSpan w:val="6"/>
            <w:noWrap w:val="0"/>
            <w:vAlign w:val="top"/>
          </w:tcPr>
          <w:p>
            <w:pPr>
              <w:pStyle w:val="70"/>
              <w:spacing w:line="360" w:lineRule="auto"/>
              <w:rPr>
                <w:rFonts w:hint="eastAsia" w:hAnsi="宋体" w:cs="宋体"/>
                <w:sz w:val="24"/>
                <w:szCs w:val="24"/>
                <w:highlight w:val="none"/>
              </w:rPr>
            </w:pPr>
            <w:r>
              <w:rPr>
                <w:rFonts w:hint="eastAsia" w:hAnsi="宋体" w:cs="宋体"/>
                <w:sz w:val="24"/>
                <w:szCs w:val="24"/>
                <w:highlight w:val="none"/>
              </w:rPr>
              <w:t>对本项目建设清单参数的偏离情况（请进行勾选）：</w:t>
            </w:r>
          </w:p>
          <w:p>
            <w:pPr>
              <w:pStyle w:val="70"/>
              <w:spacing w:line="360" w:lineRule="auto"/>
              <w:rPr>
                <w:rFonts w:hint="eastAsia" w:hAnsi="宋体" w:cs="宋体"/>
                <w:sz w:val="24"/>
                <w:szCs w:val="24"/>
                <w:highlight w:val="none"/>
              </w:rPr>
            </w:pPr>
            <w:r>
              <w:rPr>
                <w:rFonts w:hint="eastAsia" w:hAnsi="宋体" w:cs="宋体"/>
                <w:sz w:val="24"/>
                <w:szCs w:val="24"/>
                <w:highlight w:val="none"/>
              </w:rPr>
              <w:t>□无偏离（如无偏离，仅勾选无偏离即可）</w:t>
            </w:r>
          </w:p>
          <w:p>
            <w:pPr>
              <w:pStyle w:val="70"/>
              <w:spacing w:line="360" w:lineRule="auto"/>
              <w:rPr>
                <w:rFonts w:hint="eastAsia" w:hAnsi="宋体" w:cs="宋体"/>
                <w:sz w:val="24"/>
                <w:szCs w:val="24"/>
                <w:highlight w:val="none"/>
              </w:rPr>
            </w:pPr>
            <w:r>
              <w:rPr>
                <w:rFonts w:hint="eastAsia" w:hAnsi="宋体" w:cs="宋体"/>
                <w:sz w:val="24"/>
                <w:szCs w:val="24"/>
                <w:highlight w:val="none"/>
              </w:rPr>
              <w:t>□有偏离（如有偏离，则应在本表中对偏离项逐一列明）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806" w:type="dxa"/>
            <w:tcBorders>
              <w:right w:val="single" w:color="000000" w:sz="2" w:space="0"/>
            </w:tcBorders>
            <w:noWrap w:val="0"/>
            <w:vAlign w:val="center"/>
          </w:tcPr>
          <w:p>
            <w:pPr>
              <w:pStyle w:val="67"/>
              <w:spacing w:before="16"/>
              <w:ind w:left="35"/>
              <w:jc w:val="center"/>
              <w:outlineLvl w:val="2"/>
              <w:rPr>
                <w:rFonts w:hint="eastAsia"/>
              </w:rPr>
            </w:pPr>
            <w:r>
              <w:rPr>
                <w:rFonts w:hint="eastAsia"/>
              </w:rPr>
              <w:t>序</w:t>
            </w:r>
          </w:p>
          <w:p>
            <w:pPr>
              <w:pStyle w:val="67"/>
              <w:spacing w:before="15"/>
              <w:ind w:left="43"/>
              <w:jc w:val="center"/>
              <w:rPr>
                <w:rFonts w:hint="eastAsia"/>
              </w:rPr>
            </w:pPr>
            <w:r>
              <w:rPr>
                <w:rFonts w:hint="eastAsia"/>
              </w:rPr>
              <w:t>号</w:t>
            </w:r>
          </w:p>
        </w:tc>
        <w:tc>
          <w:tcPr>
            <w:tcW w:w="1394" w:type="dxa"/>
            <w:tcBorders>
              <w:left w:val="single" w:color="000000" w:sz="2" w:space="0"/>
            </w:tcBorders>
            <w:noWrap w:val="0"/>
            <w:vAlign w:val="center"/>
          </w:tcPr>
          <w:p>
            <w:pPr>
              <w:pStyle w:val="67"/>
              <w:spacing w:before="239"/>
              <w:ind w:left="33"/>
              <w:jc w:val="center"/>
              <w:outlineLvl w:val="2"/>
              <w:rPr>
                <w:rFonts w:hint="eastAsia"/>
                <w:lang w:eastAsia="zh-CN"/>
              </w:rPr>
            </w:pPr>
            <w:r>
              <w:rPr>
                <w:rFonts w:hint="eastAsia"/>
                <w:lang w:eastAsia="zh-CN"/>
              </w:rPr>
              <w:t>招标文件条款</w:t>
            </w:r>
          </w:p>
        </w:tc>
        <w:tc>
          <w:tcPr>
            <w:tcW w:w="1367" w:type="dxa"/>
            <w:noWrap w:val="0"/>
            <w:vAlign w:val="center"/>
          </w:tcPr>
          <w:p>
            <w:pPr>
              <w:pStyle w:val="67"/>
              <w:spacing w:before="15"/>
              <w:jc w:val="center"/>
              <w:rPr>
                <w:rFonts w:hint="eastAsia"/>
                <w:lang w:eastAsia="zh-CN"/>
              </w:rPr>
            </w:pPr>
            <w:r>
              <w:rPr>
                <w:rFonts w:hint="eastAsia"/>
                <w:lang w:eastAsia="zh-CN"/>
              </w:rPr>
              <w:t>招标文件要求</w:t>
            </w:r>
          </w:p>
        </w:tc>
        <w:tc>
          <w:tcPr>
            <w:tcW w:w="1666" w:type="dxa"/>
            <w:noWrap w:val="0"/>
            <w:vAlign w:val="center"/>
          </w:tcPr>
          <w:p>
            <w:pPr>
              <w:pStyle w:val="67"/>
              <w:spacing w:before="16"/>
              <w:ind w:left="34"/>
              <w:jc w:val="center"/>
              <w:outlineLvl w:val="2"/>
              <w:rPr>
                <w:rFonts w:hint="eastAsia"/>
              </w:rPr>
            </w:pPr>
            <w:r>
              <w:rPr>
                <w:rFonts w:hint="eastAsia"/>
                <w:spacing w:val="3"/>
              </w:rPr>
              <w:t>投标文件</w:t>
            </w:r>
          </w:p>
          <w:p>
            <w:pPr>
              <w:pStyle w:val="67"/>
              <w:spacing w:before="15"/>
              <w:ind w:left="45"/>
              <w:jc w:val="center"/>
              <w:rPr>
                <w:rFonts w:hint="eastAsia"/>
              </w:rPr>
            </w:pPr>
            <w:r>
              <w:rPr>
                <w:rFonts w:hint="eastAsia"/>
                <w:spacing w:val="-7"/>
              </w:rPr>
              <w:t>响应情况</w:t>
            </w:r>
          </w:p>
        </w:tc>
        <w:tc>
          <w:tcPr>
            <w:tcW w:w="2134" w:type="dxa"/>
            <w:noWrap w:val="0"/>
            <w:vAlign w:val="center"/>
          </w:tcPr>
          <w:p>
            <w:pPr>
              <w:pStyle w:val="67"/>
              <w:spacing w:before="239"/>
              <w:ind w:left="32"/>
              <w:jc w:val="center"/>
              <w:outlineLvl w:val="2"/>
              <w:rPr>
                <w:rFonts w:hint="eastAsia"/>
                <w:spacing w:val="-8"/>
              </w:rPr>
            </w:pPr>
            <w:r>
              <w:rPr>
                <w:rFonts w:hint="eastAsia"/>
                <w:spacing w:val="-8"/>
              </w:rPr>
              <w:t>偏 离 情 况</w:t>
            </w:r>
          </w:p>
          <w:p>
            <w:pPr>
              <w:pStyle w:val="67"/>
              <w:spacing w:before="17"/>
              <w:ind w:left="41"/>
              <w:jc w:val="center"/>
              <w:rPr>
                <w:rFonts w:hint="eastAsia"/>
              </w:rPr>
            </w:pPr>
            <w:r>
              <w:rPr>
                <w:rFonts w:hint="eastAsia"/>
                <w:spacing w:val="15"/>
              </w:rPr>
              <w:t>（优于、低</w:t>
            </w:r>
            <w:r>
              <w:rPr>
                <w:rFonts w:hint="eastAsia"/>
                <w:spacing w:val="-8"/>
              </w:rPr>
              <w:t>于）</w:t>
            </w:r>
          </w:p>
        </w:tc>
        <w:tc>
          <w:tcPr>
            <w:tcW w:w="1650" w:type="dxa"/>
            <w:noWrap w:val="0"/>
            <w:vAlign w:val="center"/>
          </w:tcPr>
          <w:p>
            <w:pPr>
              <w:pStyle w:val="67"/>
              <w:spacing w:before="16"/>
              <w:ind w:left="39"/>
              <w:jc w:val="center"/>
              <w:outlineLvl w:val="2"/>
              <w:rPr>
                <w:rFonts w:hint="eastAsia"/>
              </w:rPr>
            </w:pPr>
            <w:r>
              <w:rPr>
                <w:rFonts w:hint="eastAsia"/>
                <w:spacing w:val="8"/>
              </w:rPr>
              <w:t>备注（简要注明偏离的</w:t>
            </w:r>
            <w:r>
              <w:rPr>
                <w:rFonts w:hint="eastAsia"/>
                <w:spacing w:val="-6"/>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1</w:t>
            </w:r>
          </w:p>
        </w:tc>
        <w:tc>
          <w:tcPr>
            <w:tcW w:w="1394" w:type="dxa"/>
            <w:tcBorders>
              <w:left w:val="single" w:color="000000" w:sz="2" w:space="0"/>
            </w:tcBorders>
            <w:noWrap w:val="0"/>
            <w:vAlign w:val="center"/>
          </w:tcPr>
          <w:p>
            <w:pPr>
              <w:snapToGrid w:val="0"/>
              <w:spacing w:line="360" w:lineRule="auto"/>
              <w:ind w:left="-2" w:leftChars="-19" w:hanging="38" w:hangingChars="16"/>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2</w:t>
            </w:r>
          </w:p>
        </w:tc>
        <w:tc>
          <w:tcPr>
            <w:tcW w:w="1394" w:type="dxa"/>
            <w:tcBorders>
              <w:left w:val="single" w:color="000000" w:sz="2" w:space="0"/>
            </w:tcBorders>
            <w:noWrap w:val="0"/>
            <w:vAlign w:val="center"/>
          </w:tcPr>
          <w:p>
            <w:pPr>
              <w:snapToGrid w:val="0"/>
              <w:spacing w:line="360" w:lineRule="auto"/>
              <w:ind w:left="-2" w:leftChars="-19" w:hanging="38" w:hangingChars="16"/>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3</w:t>
            </w:r>
          </w:p>
        </w:tc>
        <w:tc>
          <w:tcPr>
            <w:tcW w:w="1394" w:type="dxa"/>
            <w:tcBorders>
              <w:left w:val="single" w:color="000000" w:sz="2" w:space="0"/>
            </w:tcBorders>
            <w:noWrap w:val="0"/>
            <w:vAlign w:val="center"/>
          </w:tcPr>
          <w:p>
            <w:pPr>
              <w:snapToGrid w:val="0"/>
              <w:spacing w:line="360" w:lineRule="auto"/>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w:t>
            </w:r>
          </w:p>
        </w:tc>
        <w:tc>
          <w:tcPr>
            <w:tcW w:w="1394" w:type="dxa"/>
            <w:tcBorders>
              <w:left w:val="single" w:color="000000" w:sz="2" w:space="0"/>
            </w:tcBorders>
            <w:noWrap w:val="0"/>
            <w:vAlign w:val="center"/>
          </w:tcPr>
          <w:p>
            <w:pPr>
              <w:autoSpaceDE w:val="0"/>
              <w:autoSpaceDN w:val="0"/>
              <w:adjustRightInd w:val="0"/>
              <w:spacing w:line="360" w:lineRule="auto"/>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bl>
    <w:p>
      <w:pPr>
        <w:widowControl/>
        <w:ind w:firstLine="480" w:firstLineChars="200"/>
        <w:jc w:val="left"/>
        <w:rPr>
          <w:rFonts w:ascii="宋体" w:hAnsi="宋体" w:cs="宋体"/>
          <w:sz w:val="24"/>
          <w:szCs w:val="24"/>
        </w:rPr>
      </w:pPr>
    </w:p>
    <w:p>
      <w:pPr>
        <w:widowControl/>
        <w:ind w:firstLine="480" w:firstLineChars="200"/>
        <w:jc w:val="left"/>
        <w:rPr>
          <w:rFonts w:hint="eastAsia" w:ascii="黑体" w:hAnsi="黑体" w:eastAsia="黑体" w:cs="黑体"/>
          <w:sz w:val="24"/>
          <w:szCs w:val="24"/>
          <w:u w:val="single" w:color="000000"/>
        </w:rPr>
      </w:pPr>
      <w:r>
        <w:rPr>
          <w:rFonts w:ascii="宋体" w:hAnsi="宋体" w:cs="宋体"/>
          <w:sz w:val="24"/>
          <w:szCs w:val="24"/>
        </w:rPr>
        <w:t>注：表格不足可续填。投标文件对应参数、</w:t>
      </w:r>
      <w:r>
        <w:rPr>
          <w:rFonts w:ascii="宋体" w:hAnsi="宋体" w:cs="宋体"/>
          <w:spacing w:val="-1"/>
          <w:sz w:val="24"/>
          <w:szCs w:val="24"/>
        </w:rPr>
        <w:t>指标应按实际情况填写。</w:t>
      </w:r>
    </w:p>
    <w:p>
      <w:pPr>
        <w:spacing w:line="400" w:lineRule="exact"/>
        <w:jc w:val="center"/>
        <w:rPr>
          <w:rFonts w:hint="eastAsia" w:ascii="宋体" w:hAnsi="宋体" w:cs="宋体"/>
          <w:b/>
          <w:spacing w:val="8"/>
          <w:sz w:val="30"/>
          <w:szCs w:val="30"/>
        </w:rPr>
      </w:pPr>
    </w:p>
    <w:p>
      <w:pPr>
        <w:spacing w:line="400" w:lineRule="exact"/>
        <w:jc w:val="center"/>
        <w:rPr>
          <w:rFonts w:hint="eastAsia" w:ascii="宋体" w:hAnsi="宋体" w:cs="宋体"/>
          <w:b/>
          <w:spacing w:val="8"/>
          <w:sz w:val="30"/>
          <w:szCs w:val="30"/>
        </w:rPr>
      </w:pPr>
    </w:p>
    <w:p>
      <w:pPr>
        <w:spacing w:line="400" w:lineRule="exact"/>
        <w:jc w:val="center"/>
        <w:rPr>
          <w:rFonts w:hint="eastAsia" w:ascii="宋体" w:hAnsi="宋体" w:cs="宋体"/>
          <w:b/>
          <w:spacing w:val="8"/>
          <w:sz w:val="30"/>
          <w:szCs w:val="30"/>
        </w:rPr>
      </w:pPr>
    </w:p>
    <w:p>
      <w:pPr>
        <w:spacing w:line="360" w:lineRule="auto"/>
        <w:ind w:firstLine="480" w:firstLineChars="200"/>
        <w:jc w:val="left"/>
        <w:rPr>
          <w:rStyle w:val="60"/>
          <w:rFonts w:ascii="宋体" w:hAnsi="宋体"/>
          <w:kern w:val="0"/>
          <w:sz w:val="24"/>
        </w:rPr>
      </w:pPr>
      <w:r>
        <w:rPr>
          <w:rFonts w:hint="eastAsia" w:ascii="宋体" w:hAnsi="宋体" w:cs="宋体"/>
          <w:sz w:val="24"/>
        </w:rPr>
        <w:t>投标人</w:t>
      </w:r>
      <w:r>
        <w:rPr>
          <w:rStyle w:val="60"/>
          <w:rFonts w:ascii="宋体" w:hAnsi="宋体"/>
          <w:kern w:val="0"/>
          <w:sz w:val="24"/>
        </w:rPr>
        <w:t>名称：</w:t>
      </w:r>
      <w:r>
        <w:rPr>
          <w:rStyle w:val="60"/>
          <w:rFonts w:hint="eastAsia" w:ascii="宋体" w:hAnsi="宋体"/>
          <w:kern w:val="0"/>
          <w:sz w:val="24"/>
          <w:u w:val="single"/>
        </w:rPr>
        <w:t xml:space="preserve">                   </w:t>
      </w:r>
      <w:r>
        <w:rPr>
          <w:rStyle w:val="60"/>
          <w:rFonts w:ascii="宋体" w:hAnsi="宋体"/>
          <w:kern w:val="0"/>
          <w:sz w:val="24"/>
        </w:rPr>
        <w:t>（盖章）</w:t>
      </w:r>
    </w:p>
    <w:p>
      <w:pPr>
        <w:spacing w:line="360" w:lineRule="auto"/>
        <w:ind w:firstLine="480" w:firstLineChars="200"/>
        <w:rPr>
          <w:rStyle w:val="60"/>
          <w:rFonts w:ascii="宋体" w:hAnsi="宋体"/>
          <w:kern w:val="0"/>
          <w:sz w:val="24"/>
        </w:rPr>
      </w:pPr>
      <w:r>
        <w:rPr>
          <w:rStyle w:val="60"/>
          <w:rFonts w:ascii="宋体" w:hAnsi="宋体"/>
          <w:kern w:val="0"/>
          <w:sz w:val="24"/>
        </w:rPr>
        <w:t>法定代表人</w:t>
      </w:r>
      <w:r>
        <w:rPr>
          <w:rStyle w:val="60"/>
          <w:rFonts w:hint="eastAsia" w:ascii="宋体" w:hAnsi="宋体"/>
          <w:kern w:val="0"/>
          <w:sz w:val="24"/>
        </w:rPr>
        <w:t>或委托代理人</w:t>
      </w:r>
      <w:r>
        <w:rPr>
          <w:rStyle w:val="60"/>
          <w:rFonts w:ascii="宋体" w:hAnsi="宋体"/>
          <w:kern w:val="0"/>
          <w:sz w:val="24"/>
        </w:rPr>
        <w:t>：</w:t>
      </w:r>
      <w:r>
        <w:rPr>
          <w:rStyle w:val="60"/>
          <w:rFonts w:hint="eastAsia" w:ascii="宋体" w:hAnsi="宋体"/>
          <w:kern w:val="0"/>
          <w:sz w:val="24"/>
          <w:u w:val="single"/>
        </w:rPr>
        <w:t xml:space="preserve">       </w:t>
      </w:r>
      <w:r>
        <w:rPr>
          <w:rStyle w:val="60"/>
          <w:rFonts w:ascii="宋体" w:hAnsi="宋体"/>
          <w:kern w:val="0"/>
          <w:sz w:val="24"/>
        </w:rPr>
        <w:t>（签字或</w:t>
      </w:r>
      <w:r>
        <w:rPr>
          <w:rStyle w:val="60"/>
          <w:rFonts w:hint="eastAsia" w:ascii="宋体" w:hAnsi="宋体"/>
          <w:kern w:val="0"/>
          <w:sz w:val="24"/>
        </w:rPr>
        <w:t>盖章</w:t>
      </w:r>
      <w:r>
        <w:rPr>
          <w:rStyle w:val="60"/>
          <w:rFonts w:ascii="宋体" w:hAnsi="宋体"/>
          <w:kern w:val="0"/>
          <w:sz w:val="24"/>
        </w:rPr>
        <w:t>）</w:t>
      </w:r>
    </w:p>
    <w:p>
      <w:pPr>
        <w:spacing w:line="360" w:lineRule="auto"/>
        <w:ind w:right="480" w:firstLine="480" w:firstLineChars="200"/>
        <w:rPr>
          <w:rStyle w:val="60"/>
          <w:rFonts w:ascii="宋体" w:hAnsi="宋体"/>
          <w:kern w:val="0"/>
          <w:sz w:val="24"/>
        </w:rPr>
      </w:pPr>
      <w:r>
        <w:rPr>
          <w:rStyle w:val="60"/>
          <w:rFonts w:ascii="宋体" w:hAnsi="宋体"/>
          <w:kern w:val="0"/>
          <w:sz w:val="24"/>
        </w:rPr>
        <w:t>日</w:t>
      </w:r>
      <w:r>
        <w:rPr>
          <w:rStyle w:val="60"/>
          <w:rFonts w:hint="eastAsia" w:ascii="宋体" w:hAnsi="宋体"/>
          <w:kern w:val="0"/>
          <w:sz w:val="24"/>
        </w:rPr>
        <w:t xml:space="preserve">      </w:t>
      </w:r>
      <w:r>
        <w:rPr>
          <w:rStyle w:val="60"/>
          <w:rFonts w:ascii="宋体" w:hAnsi="宋体"/>
          <w:kern w:val="0"/>
          <w:sz w:val="24"/>
        </w:rPr>
        <w:t>期：</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ascii="宋体" w:hAnsi="宋体"/>
          <w:kern w:val="0"/>
          <w:sz w:val="24"/>
        </w:rPr>
        <w:t>年</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ascii="宋体" w:hAnsi="宋体"/>
          <w:kern w:val="0"/>
          <w:sz w:val="24"/>
        </w:rPr>
        <w:t>月</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hint="eastAsia" w:ascii="宋体" w:hAnsi="宋体"/>
          <w:kern w:val="0"/>
          <w:sz w:val="24"/>
          <w:u w:val="single"/>
        </w:rPr>
        <w:t xml:space="preserve">   </w:t>
      </w:r>
      <w:r>
        <w:rPr>
          <w:rStyle w:val="60"/>
          <w:rFonts w:ascii="宋体" w:hAnsi="宋体"/>
          <w:kern w:val="0"/>
          <w:sz w:val="24"/>
          <w:u w:val="single"/>
        </w:rPr>
        <w:t xml:space="preserve"> </w:t>
      </w:r>
      <w:r>
        <w:rPr>
          <w:rStyle w:val="60"/>
          <w:rFonts w:ascii="宋体" w:hAnsi="宋体"/>
          <w:kern w:val="0"/>
          <w:sz w:val="24"/>
        </w:rPr>
        <w:t>日</w:t>
      </w:r>
    </w:p>
    <w:p>
      <w:pPr>
        <w:adjustRightInd w:val="0"/>
        <w:snapToGrid w:val="0"/>
        <w:spacing w:line="360" w:lineRule="auto"/>
        <w:jc w:val="both"/>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spacing w:before="57" w:line="247" w:lineRule="auto"/>
        <w:ind w:left="192" w:right="37" w:firstLine="420"/>
        <w:rPr>
          <w:rFonts w:hint="default" w:ascii="宋体" w:hAnsi="宋体" w:eastAsia="宋体" w:cs="宋体"/>
          <w:b/>
          <w:bCs/>
          <w:spacing w:val="-9"/>
          <w:sz w:val="22"/>
          <w:szCs w:val="22"/>
          <w:highlight w:val="none"/>
          <w:lang w:val="en-US"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both"/>
        <w:rPr>
          <w:rFonts w:hint="eastAsia" w:ascii="宋体" w:hAnsi="宋体" w:eastAsia="宋体" w:cs="宋体"/>
          <w:b/>
          <w:color w:val="auto"/>
          <w:sz w:val="24"/>
          <w:szCs w:val="24"/>
          <w:highlight w:val="none"/>
          <w:lang w:val="en-US"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七</w:t>
      </w:r>
      <w:r>
        <w:rPr>
          <w:rFonts w:hint="eastAsia" w:ascii="宋体" w:hAnsi="宋体" w:cs="宋体"/>
          <w:b/>
          <w:color w:val="auto"/>
          <w:sz w:val="24"/>
          <w:szCs w:val="24"/>
          <w:highlight w:val="none"/>
        </w:rPr>
        <w:t>、</w:t>
      </w:r>
      <w:r>
        <w:rPr>
          <w:rFonts w:hint="eastAsia" w:ascii="宋体" w:hAnsi="宋体" w:eastAsia="宋体" w:cs="宋体"/>
          <w:b/>
          <w:color w:val="auto"/>
          <w:sz w:val="24"/>
          <w:szCs w:val="24"/>
          <w:highlight w:val="none"/>
          <w:lang w:eastAsia="zh-CN"/>
        </w:rPr>
        <w:t>服务方案</w:t>
      </w:r>
    </w:p>
    <w:p>
      <w:pPr>
        <w:adjustRightInd w:val="0"/>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格式自拟</w:t>
      </w: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numPr>
          <w:ilvl w:val="0"/>
          <w:numId w:val="0"/>
        </w:numPr>
        <w:ind w:leftChars="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八、</w:t>
      </w:r>
      <w:r>
        <w:rPr>
          <w:rFonts w:hint="eastAsia" w:ascii="宋体" w:hAnsi="宋体" w:cs="宋体"/>
          <w:b/>
          <w:color w:val="auto"/>
          <w:sz w:val="24"/>
          <w:szCs w:val="24"/>
          <w:highlight w:val="none"/>
        </w:rPr>
        <w:t>供应商认为有必要提供的</w:t>
      </w:r>
      <w:r>
        <w:rPr>
          <w:rFonts w:hint="eastAsia" w:ascii="宋体" w:hAnsi="宋体" w:eastAsia="宋体" w:cs="宋体"/>
          <w:b/>
          <w:color w:val="auto"/>
          <w:sz w:val="24"/>
          <w:szCs w:val="24"/>
          <w:highlight w:val="none"/>
          <w:lang w:eastAsia="zh-CN"/>
        </w:rPr>
        <w:t>其他</w:t>
      </w:r>
      <w:r>
        <w:rPr>
          <w:rFonts w:hint="eastAsia" w:ascii="宋体" w:hAnsi="宋体" w:cs="宋体"/>
          <w:b/>
          <w:color w:val="auto"/>
          <w:sz w:val="24"/>
          <w:szCs w:val="24"/>
          <w:highlight w:val="none"/>
        </w:rPr>
        <w:t>资料</w:t>
      </w: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spacing w:line="360" w:lineRule="auto"/>
        <w:jc w:val="center"/>
        <w:rPr>
          <w:rFonts w:hint="eastAsia" w:ascii="宋体" w:hAnsi="宋体" w:cs="宋体"/>
          <w:b/>
          <w:bCs/>
          <w:sz w:val="32"/>
          <w:szCs w:val="28"/>
          <w:lang w:val="zh-TW" w:bidi="zh-TW"/>
        </w:rPr>
      </w:pPr>
      <w:r>
        <w:rPr>
          <w:rFonts w:hint="eastAsia" w:ascii="宋体" w:hAnsi="宋体" w:cs="宋体"/>
          <w:b/>
          <w:bCs/>
          <w:sz w:val="32"/>
          <w:szCs w:val="28"/>
          <w:lang w:val="zh-TW" w:eastAsia="zh-TW" w:bidi="zh-TW"/>
        </w:rPr>
        <w:t>满足《中华人民共和国政府采购法》第二十二条规定条件</w:t>
      </w:r>
      <w:r>
        <w:rPr>
          <w:rFonts w:hint="eastAsia" w:ascii="宋体" w:hAnsi="宋体" w:cs="宋体"/>
          <w:b/>
          <w:bCs/>
          <w:sz w:val="32"/>
          <w:szCs w:val="28"/>
          <w:lang w:val="zh-TW" w:bidi="zh-TW"/>
        </w:rPr>
        <w:t>的</w:t>
      </w:r>
    </w:p>
    <w:p>
      <w:pPr>
        <w:spacing w:line="360" w:lineRule="auto"/>
        <w:jc w:val="center"/>
        <w:rPr>
          <w:rFonts w:ascii="宋体" w:hAnsi="宋体" w:cs="宋体"/>
          <w:b/>
          <w:bCs/>
          <w:sz w:val="32"/>
          <w:szCs w:val="28"/>
          <w:lang w:val="zh-TW" w:eastAsia="zh-TW" w:bidi="zh-TW"/>
        </w:rPr>
      </w:pPr>
      <w:r>
        <w:rPr>
          <w:rFonts w:hint="eastAsia" w:ascii="宋体" w:hAnsi="宋体" w:cs="宋体"/>
          <w:b/>
          <w:bCs/>
          <w:sz w:val="32"/>
          <w:szCs w:val="28"/>
          <w:lang w:val="zh-TW" w:eastAsia="zh-TW" w:bidi="zh-TW"/>
        </w:rPr>
        <w:t>承诺函</w:t>
      </w:r>
    </w:p>
    <w:p>
      <w:pPr>
        <w:spacing w:line="340" w:lineRule="exact"/>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我单位具备《中华人民共和国政府采购法》第二十二条所规定的条件。</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（一）具有独立承担民事责任的能力；</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（二）具有良好的商业信誉和健全的财务会计制度；</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（三）具有履行合同所必需的设备和专业技术能力；</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（四）有依法缴纳税收和社会保障资金的良好记录；</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（五）参加政府采购活动前三年内，在经营活动中没有重大违法记录；</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（六）法律、行政法规规定的其他条件。</w:t>
      </w:r>
    </w:p>
    <w:p>
      <w:pPr>
        <w:spacing w:line="360" w:lineRule="auto"/>
        <w:ind w:firstLine="600" w:firstLineChars="250"/>
        <w:rPr>
          <w:rFonts w:ascii="宋体" w:hAnsi="宋体" w:cs="宋体"/>
          <w:bCs/>
          <w:sz w:val="24"/>
          <w:szCs w:val="28"/>
          <w:lang w:val="zh-TW" w:eastAsia="zh-TW" w:bidi="zh-TW"/>
        </w:rPr>
      </w:pPr>
      <w:r>
        <w:rPr>
          <w:rFonts w:hint="eastAsia" w:ascii="宋体" w:hAnsi="宋体" w:cs="宋体"/>
          <w:bCs/>
          <w:sz w:val="24"/>
          <w:szCs w:val="28"/>
          <w:lang w:val="zh-TW" w:eastAsia="zh-TW" w:bidi="zh-TW"/>
        </w:rPr>
        <w:t>本次采购活动中，如有违法、违规、弄虚作假行为，所造成的损失、不良后果及法律责任，一律由我单位承担。</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特此声明！</w:t>
      </w: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bidi="zh-TW"/>
        </w:rPr>
        <w:t>投标人</w:t>
      </w:r>
      <w:r>
        <w:rPr>
          <w:rFonts w:hint="eastAsia" w:ascii="宋体" w:hAnsi="宋体" w:cs="宋体"/>
          <w:bCs/>
          <w:sz w:val="24"/>
          <w:szCs w:val="28"/>
          <w:lang w:val="zh-TW" w:eastAsia="zh-TW" w:bidi="zh-TW"/>
        </w:rPr>
        <w:t>：（公章）</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法定代表人或委托代理人：（签字或</w:t>
      </w:r>
      <w:r>
        <w:rPr>
          <w:rFonts w:hint="eastAsia" w:ascii="宋体" w:hAnsi="宋体" w:cs="宋体"/>
          <w:bCs/>
          <w:sz w:val="24"/>
          <w:szCs w:val="28"/>
          <w:lang w:val="zh-TW" w:bidi="zh-TW"/>
        </w:rPr>
        <w:t>盖章</w:t>
      </w:r>
      <w:r>
        <w:rPr>
          <w:rFonts w:hint="eastAsia" w:ascii="宋体" w:hAnsi="宋体" w:cs="宋体"/>
          <w:bCs/>
          <w:sz w:val="24"/>
          <w:szCs w:val="28"/>
          <w:lang w:val="zh-TW" w:eastAsia="zh-TW" w:bidi="zh-TW"/>
        </w:rPr>
        <w:t>）</w:t>
      </w:r>
    </w:p>
    <w:p>
      <w:pPr>
        <w:spacing w:line="360" w:lineRule="auto"/>
        <w:ind w:firstLine="480" w:firstLineChars="200"/>
        <w:rPr>
          <w:rFonts w:ascii="宋体" w:hAnsi="宋体" w:cs="宋体"/>
          <w:bCs/>
          <w:sz w:val="22"/>
          <w:szCs w:val="24"/>
        </w:rPr>
      </w:pPr>
      <w:r>
        <w:rPr>
          <w:rFonts w:hint="eastAsia" w:ascii="宋体" w:hAnsi="宋体" w:cs="宋体"/>
          <w:bCs/>
          <w:sz w:val="24"/>
          <w:szCs w:val="28"/>
          <w:lang w:val="zh-TW" w:eastAsia="zh-TW" w:bidi="zh-TW"/>
        </w:rPr>
        <w:t>日</w:t>
      </w:r>
      <w:r>
        <w:rPr>
          <w:rFonts w:ascii="宋体" w:hAnsi="宋体" w:cs="宋体"/>
          <w:bCs/>
          <w:sz w:val="24"/>
          <w:szCs w:val="28"/>
          <w:lang w:val="zh-TW" w:eastAsia="zh-TW" w:bidi="zh-TW"/>
        </w:rPr>
        <w:t xml:space="preserve"> </w:t>
      </w:r>
      <w:r>
        <w:rPr>
          <w:rFonts w:hint="eastAsia" w:ascii="宋体" w:hAnsi="宋体" w:cs="宋体"/>
          <w:bCs/>
          <w:sz w:val="24"/>
          <w:szCs w:val="28"/>
          <w:lang w:val="zh-TW" w:eastAsia="zh-TW" w:bidi="zh-TW"/>
        </w:rPr>
        <w:t>期：</w:t>
      </w: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both"/>
        <w:rPr>
          <w:rFonts w:hint="eastAsia" w:ascii="宋体" w:hAnsi="宋体" w:cs="宋体"/>
          <w:b/>
          <w:color w:val="auto"/>
          <w:sz w:val="24"/>
          <w:szCs w:val="24"/>
          <w:highlight w:val="none"/>
        </w:rPr>
      </w:pPr>
    </w:p>
    <w:p>
      <w:pPr>
        <w:numPr>
          <w:ilvl w:val="0"/>
          <w:numId w:val="0"/>
        </w:numPr>
        <w:jc w:val="center"/>
        <w:rPr>
          <w:rFonts w:hint="eastAsia" w:eastAsia="宋体"/>
          <w:color w:val="auto"/>
          <w:sz w:val="32"/>
          <w:szCs w:val="32"/>
          <w:highlight w:val="none"/>
          <w:lang w:val="en-US" w:eastAsia="zh-CN"/>
        </w:rPr>
      </w:pPr>
      <w:r>
        <w:rPr>
          <w:rFonts w:hint="eastAsia" w:ascii="宋体" w:hAnsi="宋体" w:eastAsia="宋体" w:cs="宋体"/>
          <w:b/>
          <w:bCs/>
          <w:color w:val="auto"/>
          <w:sz w:val="24"/>
          <w:szCs w:val="24"/>
          <w:highlight w:val="none"/>
          <w:lang w:val="en-US" w:eastAsia="zh-CN"/>
        </w:rPr>
        <w:br w:type="page"/>
      </w:r>
      <w:r>
        <w:rPr>
          <w:rFonts w:hint="eastAsia" w:ascii="Times New Roman" w:hAnsi="Times New Roman" w:eastAsia="宋体" w:cs="Times New Roman"/>
          <w:b/>
          <w:bCs/>
          <w:color w:val="auto"/>
          <w:sz w:val="32"/>
          <w:szCs w:val="32"/>
          <w:highlight w:val="none"/>
          <w:lang w:val="en-US" w:eastAsia="zh-CN"/>
        </w:rPr>
        <w:t xml:space="preserve">第五章 </w:t>
      </w:r>
      <w:r>
        <w:rPr>
          <w:rFonts w:hint="eastAsia" w:eastAsia="宋体"/>
          <w:b/>
          <w:bCs/>
          <w:color w:val="auto"/>
          <w:sz w:val="32"/>
          <w:szCs w:val="32"/>
          <w:highlight w:val="none"/>
          <w:lang w:val="en-US" w:eastAsia="zh-CN"/>
        </w:rPr>
        <w:t>磋商内容、磋商程序、成交原则、评标标准</w:t>
      </w:r>
    </w:p>
    <w:p>
      <w:pPr>
        <w:numPr>
          <w:ilvl w:val="0"/>
          <w:numId w:val="0"/>
        </w:numPr>
        <w:jc w:val="both"/>
        <w:rPr>
          <w:rFonts w:hint="eastAsia" w:eastAsia="宋体"/>
          <w:color w:val="auto"/>
          <w:sz w:val="32"/>
          <w:szCs w:val="32"/>
          <w:highlight w:val="none"/>
          <w:lang w:val="en-US" w:eastAsia="zh-CN"/>
        </w:rPr>
      </w:pP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1、磋商内容：</w:t>
      </w:r>
      <w:r>
        <w:rPr>
          <w:rFonts w:hint="eastAsia" w:ascii="宋体" w:hAnsi="宋体" w:eastAsia="宋体" w:cs="宋体"/>
          <w:color w:val="auto"/>
          <w:sz w:val="24"/>
          <w:szCs w:val="24"/>
          <w:highlight w:val="none"/>
        </w:rPr>
        <w:t>服务要求、商务要求、价格及服务期限等。</w:t>
      </w: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2、磋商程序：</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组成磋商小组。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名专家组成磋商小组。磋商开始前磋商小组推荐 1 人担任磋商小组组长。</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第二步，磋商小组根据本次磋商文件规定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对各供应商</w:t>
      </w:r>
      <w:r>
        <w:rPr>
          <w:rFonts w:hint="eastAsia" w:ascii="宋体" w:hAnsi="宋体" w:eastAsia="宋体" w:cs="宋体"/>
          <w:color w:val="auto"/>
          <w:sz w:val="24"/>
          <w:szCs w:val="24"/>
          <w:highlight w:val="none"/>
          <w:lang w:val="en-US" w:eastAsia="zh-CN"/>
        </w:rPr>
        <w:t>进行符合性审查</w:t>
      </w:r>
      <w:r>
        <w:rPr>
          <w:rFonts w:hint="eastAsia" w:ascii="宋体" w:hAnsi="宋体" w:eastAsia="宋体" w:cs="宋体"/>
          <w:color w:val="auto"/>
          <w:sz w:val="24"/>
          <w:szCs w:val="24"/>
          <w:highlight w:val="none"/>
        </w:rPr>
        <w:t>，以确定其是否具备磋商资格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不符合条件的供应商取消其磋商资格。</w:t>
      </w:r>
    </w:p>
    <w:p>
      <w:pPr>
        <w:spacing w:line="360" w:lineRule="auto"/>
        <w:ind w:firstLine="523" w:firstLineChars="218"/>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第三步，澄清。在评标期间，</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en-US" w:eastAsia="zh-CN"/>
        </w:rPr>
        <w:t>有权以书面方式要求投标人对其投标文件中含义不明确、对同类问题表述不一致或者有明显文字和计算错误的内容作必要的澄清。投标人的澄清应在</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en-US" w:eastAsia="zh-CN"/>
        </w:rPr>
        <w:t>规定的时间内以书面形式回复，由其授权的代表签字并加盖公章，并不得超出投标文件范围或者改变投标文件的实质性内容；澄清文件将作为投标文件内容的一部分。</w:t>
      </w:r>
    </w:p>
    <w:p>
      <w:pPr>
        <w:spacing w:line="360" w:lineRule="auto"/>
        <w:ind w:firstLine="523" w:firstLineChars="2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第四步，磋商小组根据本磋商文件规定对有效供应商的磋商响应文件进行评</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审，按照磋商文件规定的评分标准对各有效供应商进行评分。</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en-US" w:eastAsia="zh-CN"/>
        </w:rPr>
        <w:t>打分</w:t>
      </w:r>
      <w:r>
        <w:rPr>
          <w:rFonts w:hint="eastAsia" w:ascii="宋体" w:hAnsi="宋体" w:eastAsia="宋体" w:cs="宋体"/>
          <w:color w:val="auto"/>
          <w:sz w:val="24"/>
          <w:szCs w:val="24"/>
          <w:highlight w:val="none"/>
        </w:rPr>
        <w:t>完毕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en-US" w:eastAsia="zh-CN"/>
        </w:rPr>
        <w:t>有权与</w:t>
      </w:r>
      <w:r>
        <w:rPr>
          <w:rFonts w:hint="eastAsia" w:ascii="宋体" w:hAnsi="宋体" w:eastAsia="宋体" w:cs="宋体"/>
          <w:color w:val="auto"/>
          <w:sz w:val="24"/>
          <w:szCs w:val="24"/>
          <w:highlight w:val="none"/>
        </w:rPr>
        <w:t>各有效供应商分别进行磋商。磋商过程中磋商双方不得</w:t>
      </w:r>
      <w:r>
        <w:rPr>
          <w:rFonts w:hint="eastAsia" w:ascii="宋体" w:hAnsi="宋体" w:eastAsia="宋体" w:cs="宋体"/>
          <w:color w:val="auto"/>
          <w:sz w:val="24"/>
          <w:szCs w:val="24"/>
          <w:highlight w:val="none"/>
          <w:lang w:val="en-US" w:eastAsia="zh-CN"/>
        </w:rPr>
        <w:t>提及</w:t>
      </w:r>
      <w:r>
        <w:rPr>
          <w:rFonts w:hint="eastAsia" w:ascii="宋体" w:hAnsi="宋体" w:eastAsia="宋体" w:cs="宋体"/>
          <w:color w:val="auto"/>
          <w:sz w:val="24"/>
          <w:szCs w:val="24"/>
          <w:highlight w:val="none"/>
        </w:rPr>
        <w:t>其他供应商的有关磋商信息。</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对各供应商的商务、技术无疑</w:t>
      </w:r>
      <w:r>
        <w:rPr>
          <w:rFonts w:hint="eastAsia" w:ascii="宋体" w:hAnsi="宋体" w:eastAsia="宋体" w:cs="宋体"/>
          <w:color w:val="auto"/>
          <w:sz w:val="24"/>
          <w:szCs w:val="24"/>
          <w:highlight w:val="none"/>
          <w:lang w:val="en-US" w:eastAsia="zh-CN"/>
        </w:rPr>
        <w:t>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如需对商务或技术要求进行实 质性修改时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须同时面对并通知所有参加磋商的供应商，所有技术和商务要求必须在最终报价前谈定，最终报价不得高于上一轮报价。</w:t>
      </w:r>
    </w:p>
    <w:p>
      <w:pPr>
        <w:numPr>
          <w:ilvl w:val="0"/>
          <w:numId w:val="0"/>
        </w:numPr>
        <w:spacing w:line="360" w:lineRule="auto"/>
        <w:ind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color w:val="auto"/>
          <w:sz w:val="24"/>
          <w:szCs w:val="24"/>
          <w:highlight w:val="none"/>
        </w:rPr>
        <w:t>磋商会议期间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供应商法定代表人或授权的委托代理人须</w:t>
      </w:r>
      <w:r>
        <w:rPr>
          <w:rFonts w:hint="eastAsia" w:ascii="宋体" w:hAnsi="宋体" w:eastAsia="宋体" w:cs="宋体"/>
          <w:color w:val="auto"/>
          <w:sz w:val="24"/>
          <w:szCs w:val="24"/>
          <w:highlight w:val="none"/>
          <w:lang w:val="en-US" w:eastAsia="zh-CN"/>
        </w:rPr>
        <w:t>在规定的会议室等待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eastAsia="zh-CN"/>
        </w:rPr>
        <w:t>保持</w:t>
      </w:r>
      <w:r>
        <w:rPr>
          <w:rFonts w:hint="eastAsia" w:ascii="宋体" w:hAnsi="宋体" w:eastAsia="宋体" w:cs="宋体"/>
          <w:color w:val="auto"/>
          <w:sz w:val="24"/>
          <w:szCs w:val="24"/>
          <w:highlight w:val="none"/>
        </w:rPr>
        <w:t>预留的联系电话畅通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及时接收磋商会议过程中的电话通知等， 以备接收通知或磋商小组质询并做出响应。如因供应商自身原因无法接收通知导致其未在规定时间内对磋商小组做出有效响应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造成的后果和损失由供应商自行承担。</w:t>
      </w:r>
    </w:p>
    <w:p>
      <w:pPr>
        <w:numPr>
          <w:ilvl w:val="0"/>
          <w:numId w:val="0"/>
        </w:numPr>
        <w:spacing w:line="360" w:lineRule="auto"/>
        <w:ind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成交原则：</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）在最大限度满足磋商文件实质性要求前提下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按照磋商文件中规定的各项评分标准综合评审后，将供应商的综合得分由高到低顺序排列。得分相同的， 按响应报价由低到高顺序排列。得分且响应报价相同的， 按技术指标优劣顺序排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w:t>
      </w: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成交供应商确定后，成交结果在沧州建投集团官网（http://www.cangzhoujt.com/view/）上</w:t>
      </w:r>
      <w:r>
        <w:rPr>
          <w:rFonts w:hint="eastAsia" w:ascii="宋体" w:hAnsi="宋体" w:eastAsia="宋体" w:cs="宋体"/>
          <w:color w:val="auto"/>
          <w:sz w:val="24"/>
          <w:szCs w:val="24"/>
          <w:highlight w:val="none"/>
        </w:rPr>
        <w:t>公示。</w:t>
      </w:r>
    </w:p>
    <w:p>
      <w:pPr>
        <w:spacing w:line="360" w:lineRule="auto"/>
        <w:ind w:firstLine="525" w:firstLineChars="218"/>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6、</w:t>
      </w:r>
      <w:r>
        <w:rPr>
          <w:rFonts w:hint="eastAsia" w:ascii="宋体" w:hAnsi="宋体" w:eastAsia="宋体" w:cs="宋体"/>
          <w:color w:val="auto"/>
          <w:sz w:val="24"/>
          <w:szCs w:val="24"/>
          <w:highlight w:val="none"/>
        </w:rPr>
        <w:t>成交供应商凭《</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在30天内</w:t>
      </w:r>
      <w:r>
        <w:rPr>
          <w:rFonts w:hint="eastAsia" w:ascii="宋体" w:hAnsi="宋体" w:eastAsia="宋体" w:cs="宋体"/>
          <w:color w:val="auto"/>
          <w:sz w:val="24"/>
          <w:szCs w:val="24"/>
          <w:highlight w:val="none"/>
        </w:rPr>
        <w:t>与采购人签订合同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否则将取消其成交资格</w:t>
      </w:r>
      <w:r>
        <w:rPr>
          <w:rFonts w:hint="eastAsia" w:ascii="宋体" w:hAnsi="宋体" w:eastAsia="宋体" w:cs="宋体"/>
          <w:color w:val="auto"/>
          <w:sz w:val="24"/>
          <w:szCs w:val="24"/>
          <w:highlight w:val="none"/>
          <w:lang w:eastAsia="zh-CN"/>
        </w:rPr>
        <w:t>。</w:t>
      </w:r>
    </w:p>
    <w:p>
      <w:pPr>
        <w:spacing w:before="208" w:line="468" w:lineRule="exact"/>
        <w:ind w:right="32" w:firstLine="484" w:firstLineChars="200"/>
        <w:jc w:val="both"/>
        <w:rPr>
          <w:rFonts w:ascii="宋体" w:hAnsi="宋体" w:eastAsia="宋体" w:cs="宋体"/>
          <w:spacing w:val="1"/>
          <w:position w:val="17"/>
          <w:sz w:val="24"/>
          <w:szCs w:val="24"/>
          <w:highlight w:val="none"/>
        </w:rPr>
        <w:sectPr>
          <w:pgSz w:w="11907" w:h="16839"/>
          <w:pgMar w:top="1092" w:right="1717" w:bottom="1154" w:left="1769" w:header="1077" w:footer="993" w:gutter="0"/>
          <w:pgBorders>
            <w:top w:val="none" w:sz="0" w:space="0"/>
            <w:left w:val="none" w:sz="0" w:space="0"/>
            <w:bottom w:val="none" w:sz="0" w:space="0"/>
            <w:right w:val="none" w:sz="0" w:space="0"/>
          </w:pgBorders>
          <w:pgNumType w:fmt="decimal" w:start="1"/>
          <w:cols w:space="720" w:num="1"/>
        </w:sectPr>
      </w:pPr>
    </w:p>
    <w:p>
      <w:pPr>
        <w:spacing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 1</w:t>
      </w:r>
    </w:p>
    <w:p>
      <w:pPr>
        <w:spacing w:afterLines="50" w:line="360" w:lineRule="auto"/>
        <w:rPr>
          <w:rFonts w:hint="eastAsia" w:ascii="宋体" w:hAnsi="宋体" w:eastAsia="宋体" w:cs="宋体"/>
          <w:b/>
          <w:color w:val="auto"/>
          <w:sz w:val="24"/>
          <w:szCs w:val="24"/>
          <w:highlight w:val="none"/>
        </w:rPr>
      </w:pPr>
    </w:p>
    <w:p>
      <w:pPr>
        <w:spacing w:after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资格审查合格条件标准</w:t>
      </w:r>
    </w:p>
    <w:tbl>
      <w:tblPr>
        <w:tblStyle w:val="20"/>
        <w:tblW w:w="97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311"/>
        <w:gridCol w:w="5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707"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5693"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rPr>
            </w:pPr>
            <w:r>
              <w:rPr>
                <w:rFonts w:hint="eastAsia" w:ascii="宋体" w:hAnsi="宋体" w:cs="宋体"/>
                <w:b/>
                <w:bCs/>
                <w:sz w:val="24"/>
                <w:szCs w:val="20"/>
                <w:highlight w:val="none"/>
              </w:rPr>
              <w:t>1</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企业法人营业执照</w:t>
            </w:r>
          </w:p>
        </w:tc>
        <w:tc>
          <w:tcPr>
            <w:tcW w:w="5693" w:type="dxa"/>
            <w:vAlign w:val="center"/>
          </w:tcPr>
          <w:p>
            <w:pPr>
              <w:tabs>
                <w:tab w:val="left" w:pos="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真实有效(加盖公章)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0" w:hRule="exact"/>
          <w:jc w:val="center"/>
        </w:trPr>
        <w:tc>
          <w:tcPr>
            <w:tcW w:w="707"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kern w:val="1"/>
                <w:sz w:val="24"/>
                <w:szCs w:val="22"/>
                <w:highlight w:val="none"/>
                <w:lang w:val="en-US" w:eastAsia="zh-CN"/>
              </w:rPr>
              <w:t>2</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信誉要求</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被“信用中国”网站和列入失信被执行人名单、异常经营名录和税收违法黑名单，则不允许参加本项目采购活动。（此项内容投标人无需提供，以开标当天现场查询为准）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sz w:val="24"/>
                <w:szCs w:val="20"/>
                <w:highlight w:val="none"/>
                <w:lang w:val="en-US" w:eastAsia="zh-CN"/>
              </w:rPr>
              <w:t>3</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法定代表人或授权代理人</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真实有效</w:t>
            </w:r>
            <w:r>
              <w:rPr>
                <w:rFonts w:hint="eastAsia" w:ascii="宋体" w:hAnsi="宋体" w:eastAsia="宋体" w:cs="宋体"/>
                <w:b/>
                <w:bCs/>
                <w:color w:val="auto"/>
                <w:sz w:val="24"/>
                <w:szCs w:val="24"/>
                <w:highlight w:val="none"/>
                <w:lang w:val="en-US"/>
              </w:rPr>
              <w:t>(加盖公章)</w:t>
            </w:r>
          </w:p>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（法定代表人参加开标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法定代表人身份证明书，授权代理人参加开标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sz w:val="24"/>
                <w:szCs w:val="20"/>
                <w:highlight w:val="none"/>
                <w:lang w:val="en-US" w:eastAsia="zh-CN"/>
              </w:rPr>
              <w:t>4</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rPr>
              <w:t>满足《中华人民共和国政府采购法》第二十二条规定条件的承诺函</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真实有效</w:t>
            </w:r>
            <w:r>
              <w:rPr>
                <w:rFonts w:hint="eastAsia" w:ascii="宋体" w:hAnsi="宋体" w:eastAsia="宋体" w:cs="宋体"/>
                <w:b/>
                <w:bCs/>
                <w:color w:val="auto"/>
                <w:sz w:val="24"/>
                <w:szCs w:val="24"/>
                <w:highlight w:val="none"/>
                <w:lang w:val="en-US"/>
              </w:rPr>
              <w:t>(加盖公章)</w:t>
            </w:r>
          </w:p>
        </w:tc>
      </w:tr>
    </w:tbl>
    <w:p>
      <w:pPr>
        <w:widowControl w:val="0"/>
        <w:wordWrap/>
        <w:adjustRightInd/>
        <w:snapToGrid/>
        <w:spacing w:afterLines="50"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kern w:val="0"/>
          <w:sz w:val="24"/>
          <w:szCs w:val="24"/>
          <w:highlight w:val="none"/>
        </w:rPr>
        <w:t>备注：</w:t>
      </w:r>
      <w:r>
        <w:rPr>
          <w:rFonts w:hint="eastAsia" w:ascii="宋体" w:hAnsi="宋体" w:eastAsia="宋体" w:cs="宋体"/>
          <w:b/>
          <w:color w:val="auto"/>
          <w:kern w:val="0"/>
          <w:sz w:val="24"/>
          <w:szCs w:val="24"/>
          <w:highlight w:val="none"/>
        </w:rPr>
        <w:t>以上证件不全者视为未通过资格审查，未通过资格审查的投标人将被取消其中标资格，其商务报价不参与评标基准价的</w:t>
      </w:r>
      <w:r>
        <w:rPr>
          <w:rFonts w:hint="eastAsia" w:ascii="宋体" w:hAnsi="宋体" w:eastAsia="宋体" w:cs="宋体"/>
          <w:b/>
          <w:color w:val="auto"/>
          <w:kern w:val="0"/>
          <w:sz w:val="24"/>
          <w:szCs w:val="24"/>
          <w:highlight w:val="none"/>
          <w:lang w:eastAsia="zh-CN"/>
        </w:rPr>
        <w:t>折成</w:t>
      </w:r>
      <w:r>
        <w:rPr>
          <w:rFonts w:hint="eastAsia" w:ascii="宋体" w:hAnsi="宋体" w:eastAsia="宋体" w:cs="宋体"/>
          <w:b/>
          <w:color w:val="auto"/>
          <w:kern w:val="0"/>
          <w:sz w:val="24"/>
          <w:szCs w:val="24"/>
          <w:highlight w:val="none"/>
        </w:rPr>
        <w:t>。通过资格审查的投标人方可进入以下评标程序。</w:t>
      </w:r>
    </w:p>
    <w:p>
      <w:pPr>
        <w:widowControl w:val="0"/>
        <w:wordWrap/>
        <w:adjustRightInd/>
        <w:snapToGrid/>
        <w:spacing w:afterLines="50" w:line="4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附表 </w:t>
      </w:r>
      <w:r>
        <w:rPr>
          <w:rFonts w:hint="eastAsia" w:ascii="宋体" w:hAnsi="宋体" w:eastAsia="宋体" w:cs="宋体"/>
          <w:b/>
          <w:color w:val="auto"/>
          <w:sz w:val="24"/>
          <w:szCs w:val="24"/>
          <w:highlight w:val="none"/>
          <w:lang w:val="en-US" w:eastAsia="zh-CN"/>
        </w:rPr>
        <w:t>2</w:t>
      </w:r>
    </w:p>
    <w:p>
      <w:pPr>
        <w:spacing w:afterLines="50"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符合性</w:t>
      </w:r>
      <w:r>
        <w:rPr>
          <w:rFonts w:hint="eastAsia" w:ascii="宋体" w:hAnsi="宋体" w:eastAsia="宋体" w:cs="宋体"/>
          <w:b/>
          <w:color w:val="auto"/>
          <w:sz w:val="24"/>
          <w:szCs w:val="24"/>
          <w:highlight w:val="none"/>
        </w:rPr>
        <w:t>审查表</w:t>
      </w:r>
    </w:p>
    <w:tbl>
      <w:tblPr>
        <w:tblStyle w:val="20"/>
        <w:tblpPr w:leftFromText="180" w:rightFromText="180" w:vertAnchor="text" w:horzAnchor="page" w:tblpX="1735" w:tblpY="326"/>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0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3"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序号</w:t>
            </w:r>
          </w:p>
        </w:tc>
        <w:tc>
          <w:tcPr>
            <w:tcW w:w="2407"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审查项目</w:t>
            </w:r>
          </w:p>
        </w:tc>
        <w:tc>
          <w:tcPr>
            <w:tcW w:w="5637"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3"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c>
          <w:tcPr>
            <w:tcW w:w="2407"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c>
          <w:tcPr>
            <w:tcW w:w="5637"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1</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投标文件内容</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2</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签字盖章</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3</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投标报价</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4</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投标有效期</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bl>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备注：符合性不通过的投标人的投标文件视为无效投标文件，其报价不参与评标基准价的合成。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、评标标准</w:t>
      </w:r>
    </w:p>
    <w:p>
      <w:pPr>
        <w:tabs>
          <w:tab w:val="left" w:pos="0"/>
        </w:tabs>
        <w:spacing w:line="360" w:lineRule="auto"/>
        <w:ind w:right="-11"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本项目招标人设定最高上限，高于最高限价的投标报价为无效报价。评标委员会对投标人的投标报价进行校核并对经校核的投标报价汇总比较，对需要澄清、说明、补正的问题，评标委员会以书面形式</w:t>
      </w:r>
      <w:r>
        <w:rPr>
          <w:rFonts w:hint="eastAsia" w:ascii="宋体" w:hAnsi="宋体" w:eastAsia="宋体" w:cs="宋体"/>
          <w:color w:val="auto"/>
          <w:sz w:val="24"/>
          <w:szCs w:val="24"/>
          <w:highlight w:val="none"/>
          <w:lang w:val="en-US" w:eastAsia="zh-CN"/>
        </w:rPr>
        <w:t>或电话</w:t>
      </w:r>
      <w:r>
        <w:rPr>
          <w:rFonts w:hint="eastAsia" w:ascii="宋体" w:hAnsi="宋体" w:eastAsia="宋体" w:cs="宋体"/>
          <w:color w:val="auto"/>
          <w:sz w:val="24"/>
          <w:szCs w:val="24"/>
          <w:highlight w:val="none"/>
          <w:lang w:eastAsia="zh-CN"/>
        </w:rPr>
        <w:t>质询，经修正的投标报价超过最高限价的响应文件按无效处理。</w:t>
      </w:r>
    </w:p>
    <w:p>
      <w:pPr>
        <w:tabs>
          <w:tab w:val="left" w:pos="1080"/>
        </w:tabs>
        <w:ind w:firstLine="472" w:firstLineChars="196"/>
        <w:outlineLvl w:val="2"/>
        <w:rPr>
          <w:rFonts w:ascii="宋体" w:hAnsi="宋体" w:eastAsia="宋体" w:cs="宋体"/>
          <w:b/>
          <w:sz w:val="24"/>
          <w:szCs w:val="24"/>
        </w:rPr>
      </w:pPr>
      <w:r>
        <w:rPr>
          <w:rFonts w:hint="eastAsia" w:ascii="宋体" w:hAnsi="宋体" w:eastAsia="宋体" w:cs="宋体"/>
          <w:b/>
          <w:sz w:val="24"/>
          <w:szCs w:val="24"/>
        </w:rPr>
        <w:t>（一）投标报价（</w:t>
      </w:r>
      <w:r>
        <w:rPr>
          <w:rFonts w:hint="eastAsia" w:ascii="宋体" w:hAnsi="宋体" w:eastAsia="宋体" w:cs="宋体"/>
          <w:b/>
          <w:sz w:val="24"/>
          <w:szCs w:val="24"/>
          <w:lang w:val="en-US" w:eastAsia="zh-CN"/>
        </w:rPr>
        <w:t>3</w:t>
      </w:r>
      <w:r>
        <w:rPr>
          <w:rFonts w:hint="eastAsia" w:ascii="宋体" w:hAnsi="宋体" w:eastAsia="宋体" w:cs="宋体"/>
          <w:b/>
          <w:sz w:val="24"/>
          <w:szCs w:val="24"/>
        </w:rPr>
        <w:t>0分）</w:t>
      </w:r>
    </w:p>
    <w:tbl>
      <w:tblPr>
        <w:tblStyle w:val="20"/>
        <w:tblW w:w="9100" w:type="dxa"/>
        <w:tblInd w:w="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00"/>
        <w:gridCol w:w="5608"/>
        <w:gridCol w:w="12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2200" w:type="dxa"/>
            <w:vAlign w:val="center"/>
          </w:tcPr>
          <w:p>
            <w:pPr>
              <w:widowControl/>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项  目</w:t>
            </w:r>
          </w:p>
        </w:tc>
        <w:tc>
          <w:tcPr>
            <w:tcW w:w="5608" w:type="dxa"/>
            <w:vAlign w:val="center"/>
          </w:tcPr>
          <w:p>
            <w:pPr>
              <w:widowControl/>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内  容</w:t>
            </w:r>
          </w:p>
        </w:tc>
        <w:tc>
          <w:tcPr>
            <w:tcW w:w="1292" w:type="dxa"/>
            <w:vAlign w:val="center"/>
          </w:tcPr>
          <w:p>
            <w:pPr>
              <w:widowControl/>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最高得分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00" w:type="dxa"/>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报  价</w:t>
            </w:r>
          </w:p>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0分）</w:t>
            </w:r>
          </w:p>
        </w:tc>
        <w:tc>
          <w:tcPr>
            <w:tcW w:w="5608" w:type="dxa"/>
            <w:vAlign w:val="center"/>
          </w:tcPr>
          <w:p>
            <w:pPr>
              <w:spacing w:line="360" w:lineRule="exact"/>
              <w:rPr>
                <w:rFonts w:ascii="宋体" w:hAnsi="宋体" w:cs="宋体"/>
                <w:sz w:val="24"/>
              </w:rPr>
            </w:pPr>
            <w:r>
              <w:rPr>
                <w:rFonts w:hint="eastAsia" w:ascii="宋体" w:hAnsi="宋体" w:cs="宋体"/>
                <w:sz w:val="24"/>
              </w:rPr>
              <w:t>所有算术修正后的</w:t>
            </w:r>
            <w:r>
              <w:rPr>
                <w:rFonts w:hint="eastAsia" w:ascii="宋体" w:hAnsi="宋体" w:eastAsia="宋体" w:cs="宋体"/>
                <w:sz w:val="24"/>
              </w:rPr>
              <w:t>投标报价</w:t>
            </w:r>
            <w:r>
              <w:rPr>
                <w:rFonts w:hint="eastAsia" w:ascii="宋体" w:hAnsi="宋体" w:cs="宋体"/>
                <w:sz w:val="24"/>
              </w:rPr>
              <w:t>由低到高排序，有效报价中的最低报价得标准分</w:t>
            </w:r>
            <w:r>
              <w:rPr>
                <w:rFonts w:hint="eastAsia" w:ascii="宋体" w:hAnsi="宋体" w:eastAsia="宋体" w:cs="宋体"/>
                <w:sz w:val="24"/>
                <w:lang w:val="en-US" w:eastAsia="zh-CN"/>
              </w:rPr>
              <w:t>3</w:t>
            </w:r>
            <w:r>
              <w:rPr>
                <w:rFonts w:hint="eastAsia" w:ascii="宋体" w:hAnsi="宋体" w:cs="宋体"/>
                <w:sz w:val="24"/>
              </w:rPr>
              <w:t>0分，其他供应商价格分为：</w:t>
            </w:r>
          </w:p>
          <w:p>
            <w:pPr>
              <w:widowControl/>
              <w:spacing w:line="400" w:lineRule="exact"/>
              <w:rPr>
                <w:rFonts w:ascii="宋体" w:hAnsi="宋体" w:eastAsia="宋体" w:cs="宋体"/>
                <w:kern w:val="0"/>
                <w:sz w:val="24"/>
                <w:szCs w:val="24"/>
              </w:rPr>
            </w:pPr>
            <w:r>
              <w:rPr>
                <w:rFonts w:hint="eastAsia" w:ascii="宋体" w:hAnsi="宋体" w:eastAsia="宋体" w:cs="宋体"/>
                <w:sz w:val="24"/>
              </w:rPr>
              <w:t>投标报价</w:t>
            </w:r>
            <w:r>
              <w:rPr>
                <w:rFonts w:hint="eastAsia" w:ascii="宋体" w:hAnsi="宋体" w:cs="宋体"/>
                <w:sz w:val="24"/>
              </w:rPr>
              <w:t>得分=（评标基准价/</w:t>
            </w:r>
            <w:r>
              <w:rPr>
                <w:rFonts w:hint="eastAsia" w:ascii="宋体" w:hAnsi="宋体" w:eastAsia="宋体" w:cs="宋体"/>
                <w:sz w:val="24"/>
              </w:rPr>
              <w:t>投标报价</w:t>
            </w:r>
            <w:r>
              <w:rPr>
                <w:rFonts w:hint="eastAsia" w:ascii="宋体" w:hAnsi="宋体" w:cs="宋体"/>
                <w:sz w:val="24"/>
              </w:rPr>
              <w:t>）×</w:t>
            </w:r>
            <w:r>
              <w:rPr>
                <w:rFonts w:hint="eastAsia" w:ascii="宋体" w:hAnsi="宋体" w:eastAsia="宋体" w:cs="宋体"/>
                <w:sz w:val="24"/>
                <w:lang w:val="en-US" w:eastAsia="zh-CN"/>
              </w:rPr>
              <w:t>3</w:t>
            </w:r>
            <w:r>
              <w:rPr>
                <w:rFonts w:hint="eastAsia" w:ascii="宋体" w:hAnsi="宋体" w:cs="宋体"/>
                <w:sz w:val="24"/>
              </w:rPr>
              <w:t>0</w:t>
            </w:r>
          </w:p>
        </w:tc>
        <w:tc>
          <w:tcPr>
            <w:tcW w:w="1292" w:type="dxa"/>
            <w:vAlign w:val="center"/>
          </w:tcPr>
          <w:p>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0分</w:t>
            </w:r>
          </w:p>
        </w:tc>
      </w:tr>
    </w:tbl>
    <w:p>
      <w:pPr>
        <w:widowControl w:val="0"/>
        <w:tabs>
          <w:tab w:val="left" w:pos="1080"/>
        </w:tabs>
        <w:wordWrap/>
        <w:adjustRightInd/>
        <w:snapToGrid/>
        <w:spacing w:line="360" w:lineRule="auto"/>
        <w:ind w:firstLine="472" w:firstLineChars="196"/>
        <w:textAlignment w:val="auto"/>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磋商小组各成员分别对各供应商响应文件技术、</w:t>
      </w:r>
      <w:r>
        <w:rPr>
          <w:rFonts w:hint="eastAsia" w:ascii="宋体" w:hAnsi="宋体" w:eastAsia="宋体" w:cs="宋体"/>
          <w:b/>
          <w:color w:val="auto"/>
          <w:sz w:val="24"/>
          <w:szCs w:val="24"/>
          <w:highlight w:val="none"/>
          <w:lang w:val="en-US" w:eastAsia="zh-CN"/>
        </w:rPr>
        <w:t>商务</w:t>
      </w:r>
      <w:r>
        <w:rPr>
          <w:rFonts w:hint="eastAsia" w:ascii="宋体" w:hAnsi="宋体" w:eastAsia="宋体" w:cs="宋体"/>
          <w:b/>
          <w:color w:val="auto"/>
          <w:sz w:val="24"/>
          <w:szCs w:val="24"/>
          <w:highlight w:val="none"/>
          <w:lang w:eastAsia="zh-CN"/>
        </w:rPr>
        <w:t>部分进行评审评分，并根据具体的评分标准对各子项进行评分，计入评分计分表的相应栏中。</w:t>
      </w:r>
    </w:p>
    <w:p>
      <w:pPr>
        <w:autoSpaceDE w:val="0"/>
        <w:autoSpaceDN w:val="0"/>
        <w:adjustRightInd w:val="0"/>
        <w:spacing w:line="360" w:lineRule="auto"/>
        <w:ind w:firstLine="482" w:firstLineChars="200"/>
        <w:jc w:val="left"/>
        <w:rPr>
          <w:rFonts w:hint="eastAsia" w:ascii="宋体" w:hAnsi="宋体" w:eastAsia="宋体" w:cs="宋体"/>
          <w:b/>
          <w:sz w:val="24"/>
          <w:szCs w:val="24"/>
          <w:lang w:val="zh-CN"/>
        </w:rPr>
      </w:pPr>
      <w:r>
        <w:rPr>
          <w:rFonts w:hint="eastAsia" w:ascii="宋体" w:hAnsi="宋体" w:eastAsia="宋体" w:cs="宋体"/>
          <w:b/>
          <w:sz w:val="24"/>
          <w:szCs w:val="24"/>
          <w:lang w:val="zh-CN"/>
        </w:rPr>
        <w:t>评分标准（</w:t>
      </w:r>
      <w:r>
        <w:rPr>
          <w:rFonts w:hint="eastAsia" w:ascii="宋体" w:hAnsi="宋体" w:eastAsia="宋体" w:cs="宋体"/>
          <w:b/>
          <w:sz w:val="24"/>
          <w:szCs w:val="24"/>
          <w:lang w:val="en-US" w:eastAsia="zh-CN"/>
        </w:rPr>
        <w:t>7</w:t>
      </w:r>
      <w:r>
        <w:rPr>
          <w:rFonts w:hint="eastAsia" w:ascii="宋体" w:hAnsi="宋体" w:eastAsia="宋体" w:cs="宋体"/>
          <w:b/>
          <w:sz w:val="24"/>
          <w:szCs w:val="24"/>
        </w:rPr>
        <w:t>0</w:t>
      </w:r>
      <w:r>
        <w:rPr>
          <w:rFonts w:hint="eastAsia" w:ascii="宋体" w:hAnsi="宋体" w:eastAsia="宋体" w:cs="宋体"/>
          <w:b/>
          <w:sz w:val="24"/>
          <w:szCs w:val="24"/>
          <w:lang w:val="zh-CN"/>
        </w:rPr>
        <w:t>分）</w:t>
      </w:r>
    </w:p>
    <w:tbl>
      <w:tblPr>
        <w:tblStyle w:val="20"/>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6"/>
        <w:gridCol w:w="1176"/>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评分内容</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分值</w:t>
            </w:r>
            <w:r>
              <w:rPr>
                <w:rFonts w:hint="eastAsia" w:ascii="宋体" w:hAnsi="宋体"/>
                <w:sz w:val="24"/>
                <w:szCs w:val="24"/>
              </w:rPr>
              <w:t>（分）</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cs="宋体"/>
                <w:sz w:val="24"/>
                <w:szCs w:val="24"/>
              </w:rPr>
            </w:pPr>
            <w:bookmarkStart w:id="46" w:name="OLE_LINK4"/>
            <w:bookmarkStart w:id="47" w:name="OLE_LINK3" w:colFirst="0" w:colLast="2"/>
            <w:r>
              <w:rPr>
                <w:rFonts w:hint="eastAsia" w:ascii="宋体" w:hAnsi="宋体" w:cs="宋体"/>
                <w:snapToGrid w:val="0"/>
                <w:color w:val="000000"/>
                <w:kern w:val="0"/>
                <w:sz w:val="24"/>
                <w:szCs w:val="24"/>
                <w:lang w:bidi="ar"/>
              </w:rPr>
              <w:t>商务指标响应情况</w:t>
            </w:r>
            <w:bookmarkEnd w:id="46"/>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cs="宋体"/>
                <w:sz w:val="24"/>
                <w:szCs w:val="24"/>
              </w:rPr>
            </w:pPr>
            <w:bookmarkStart w:id="48" w:name="OLE_LINK7"/>
            <w:r>
              <w:rPr>
                <w:rFonts w:hint="eastAsia" w:ascii="宋体" w:hAnsi="宋体" w:cs="宋体"/>
                <w:snapToGrid w:val="0"/>
                <w:color w:val="000000"/>
                <w:kern w:val="0"/>
                <w:sz w:val="24"/>
                <w:szCs w:val="24"/>
                <w:lang w:bidi="ar"/>
              </w:rPr>
              <w:t>5</w:t>
            </w:r>
            <w:bookmarkEnd w:id="48"/>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31" w:lineRule="auto"/>
              <w:rPr>
                <w:rFonts w:hint="eastAsia" w:ascii="宋体" w:hAnsi="宋体" w:eastAsia="Times New Roman" w:cs="宋体"/>
                <w:snapToGrid w:val="0"/>
                <w:color w:val="000000"/>
                <w:kern w:val="0"/>
                <w:sz w:val="24"/>
                <w:szCs w:val="24"/>
                <w:lang w:val="en-US" w:eastAsia="zh-CN" w:bidi="ar"/>
              </w:rPr>
            </w:pPr>
            <w:bookmarkStart w:id="49" w:name="OLE_LINK8"/>
            <w:r>
              <w:rPr>
                <w:rFonts w:hint="eastAsia" w:ascii="宋体" w:hAnsi="宋体" w:eastAsia="Times New Roman" w:cs="宋体"/>
                <w:snapToGrid w:val="0"/>
                <w:color w:val="000000"/>
                <w:kern w:val="0"/>
                <w:sz w:val="24"/>
                <w:szCs w:val="24"/>
                <w:lang w:val="en-US" w:eastAsia="zh-CN" w:bidi="ar"/>
              </w:rPr>
              <w:t>实质性完全满足或优于招标文件技术规格（要求）的，得</w:t>
            </w:r>
            <w:r>
              <w:rPr>
                <w:rFonts w:hint="eastAsia" w:ascii="宋体" w:hAnsi="宋体" w:cs="宋体"/>
                <w:snapToGrid w:val="0"/>
                <w:color w:val="000000"/>
                <w:kern w:val="0"/>
                <w:sz w:val="24"/>
                <w:szCs w:val="24"/>
                <w:lang w:val="en-US" w:eastAsia="zh-CN" w:bidi="ar"/>
              </w:rPr>
              <w:t>5</w:t>
            </w:r>
            <w:r>
              <w:rPr>
                <w:rFonts w:hint="eastAsia" w:ascii="宋体" w:hAnsi="宋体" w:eastAsia="Times New Roman" w:cs="宋体"/>
                <w:snapToGrid w:val="0"/>
                <w:color w:val="000000"/>
                <w:kern w:val="0"/>
                <w:sz w:val="24"/>
                <w:szCs w:val="24"/>
                <w:lang w:val="en-US" w:eastAsia="zh-CN" w:bidi="ar"/>
              </w:rPr>
              <w:t>分</w:t>
            </w:r>
            <w:r>
              <w:rPr>
                <w:rFonts w:hint="eastAsia" w:ascii="宋体" w:hAnsi="宋体" w:cs="宋体"/>
                <w:snapToGrid w:val="0"/>
                <w:color w:val="000000"/>
                <w:kern w:val="0"/>
                <w:sz w:val="24"/>
                <w:szCs w:val="24"/>
                <w:lang w:val="en-US" w:eastAsia="zh-CN" w:bidi="ar"/>
              </w:rPr>
              <w:t>，</w:t>
            </w:r>
            <w:r>
              <w:rPr>
                <w:rFonts w:hint="eastAsia" w:ascii="宋体" w:hAnsi="宋体" w:eastAsia="Times New Roman" w:cs="宋体"/>
                <w:snapToGrid w:val="0"/>
                <w:color w:val="000000"/>
                <w:kern w:val="0"/>
                <w:sz w:val="24"/>
                <w:szCs w:val="24"/>
                <w:lang w:val="en-US" w:eastAsia="zh-CN" w:bidi="ar"/>
              </w:rPr>
              <w:t>每有一项负偏离减1分，减完为止。</w:t>
            </w:r>
          </w:p>
          <w:p>
            <w:pPr>
              <w:widowControl/>
              <w:kinsoku w:val="0"/>
              <w:autoSpaceDE w:val="0"/>
              <w:autoSpaceDN w:val="0"/>
              <w:adjustRightInd w:val="0"/>
              <w:snapToGrid w:val="0"/>
              <w:spacing w:line="331" w:lineRule="auto"/>
              <w:rPr>
                <w:rFonts w:ascii="宋体" w:hAnsi="宋体" w:cs="宋体"/>
                <w:sz w:val="24"/>
                <w:szCs w:val="24"/>
              </w:rPr>
            </w:pPr>
            <w:r>
              <w:rPr>
                <w:rFonts w:hint="eastAsia" w:ascii="宋体" w:hAnsi="宋体" w:cs="宋体"/>
                <w:b/>
                <w:bCs/>
                <w:snapToGrid w:val="0"/>
                <w:color w:val="000000"/>
                <w:kern w:val="0"/>
                <w:sz w:val="24"/>
                <w:szCs w:val="24"/>
                <w:lang w:bidi="ar"/>
              </w:rPr>
              <w:t>说明：投标人须知前附表中★项为重要商务指标，投标人有一项不满足的即为无效投标，但可以优于招标文件要求。</w:t>
            </w:r>
            <w:bookmarkEnd w:id="49"/>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cs="宋体"/>
                <w:snapToGrid w:val="0"/>
                <w:color w:val="000000"/>
                <w:kern w:val="0"/>
                <w:sz w:val="24"/>
                <w:szCs w:val="24"/>
                <w:lang w:bidi="ar"/>
              </w:rPr>
            </w:pPr>
            <w:bookmarkStart w:id="50" w:name="OLE_LINK9" w:colFirst="0" w:colLast="2"/>
            <w:r>
              <w:rPr>
                <w:rFonts w:hint="eastAsia" w:ascii="宋体" w:hAnsi="宋体" w:cs="宋体"/>
                <w:snapToGrid w:val="0"/>
                <w:color w:val="000000"/>
                <w:kern w:val="0"/>
                <w:sz w:val="24"/>
                <w:szCs w:val="24"/>
                <w:lang w:bidi="ar"/>
              </w:rPr>
              <w:t>技术指标响应情况</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15</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24" w:lineRule="auto"/>
              <w:jc w:val="left"/>
              <w:rPr>
                <w:rFonts w:hint="eastAsia"/>
              </w:rPr>
            </w:pPr>
            <w:r>
              <w:rPr>
                <w:rFonts w:hint="eastAsia" w:ascii="宋体" w:hAnsi="宋体" w:eastAsia="Times New Roman" w:cs="宋体"/>
                <w:snapToGrid w:val="0"/>
                <w:color w:val="000000"/>
                <w:kern w:val="0"/>
                <w:sz w:val="24"/>
                <w:szCs w:val="24"/>
                <w:lang w:val="en-US" w:eastAsia="zh-CN" w:bidi="ar"/>
              </w:rPr>
              <w:t>实质性完全满足或优于招标文件技术规格（要求）的，得</w:t>
            </w:r>
            <w:r>
              <w:rPr>
                <w:rFonts w:hint="eastAsia" w:ascii="宋体" w:hAnsi="宋体" w:cs="宋体"/>
                <w:snapToGrid w:val="0"/>
                <w:color w:val="000000"/>
                <w:kern w:val="0"/>
                <w:sz w:val="24"/>
                <w:szCs w:val="24"/>
                <w:lang w:val="en-US" w:eastAsia="zh-CN" w:bidi="ar"/>
              </w:rPr>
              <w:t>15</w:t>
            </w:r>
            <w:r>
              <w:rPr>
                <w:rFonts w:hint="eastAsia" w:ascii="宋体" w:hAnsi="宋体" w:eastAsia="Times New Roman" w:cs="宋体"/>
                <w:snapToGrid w:val="0"/>
                <w:color w:val="000000"/>
                <w:kern w:val="0"/>
                <w:sz w:val="24"/>
                <w:szCs w:val="24"/>
                <w:lang w:val="en-US" w:eastAsia="zh-CN" w:bidi="ar"/>
              </w:rPr>
              <w:t>分</w:t>
            </w:r>
            <w:r>
              <w:rPr>
                <w:rFonts w:hint="eastAsia" w:ascii="宋体" w:hAnsi="宋体" w:cs="宋体"/>
                <w:snapToGrid w:val="0"/>
                <w:color w:val="000000"/>
                <w:kern w:val="0"/>
                <w:sz w:val="24"/>
                <w:szCs w:val="24"/>
                <w:lang w:val="en-US" w:eastAsia="zh-CN" w:bidi="ar"/>
              </w:rPr>
              <w:t>，</w:t>
            </w:r>
            <w:r>
              <w:rPr>
                <w:rFonts w:hint="eastAsia" w:ascii="宋体" w:hAnsi="宋体" w:eastAsia="Times New Roman" w:cs="宋体"/>
                <w:snapToGrid w:val="0"/>
                <w:color w:val="000000"/>
                <w:kern w:val="0"/>
                <w:sz w:val="24"/>
                <w:szCs w:val="24"/>
                <w:lang w:val="en-US" w:eastAsia="zh-CN" w:bidi="ar"/>
              </w:rPr>
              <w:t>每有一项负偏离减1分，减完为止。</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eastAsia="Times New Roman" w:cs="宋体"/>
                <w:kern w:val="2"/>
                <w:sz w:val="24"/>
                <w:szCs w:val="24"/>
                <w:lang w:val="en-US" w:eastAsia="zh-CN" w:bidi="ar-SA"/>
              </w:rPr>
            </w:pPr>
            <w:bookmarkStart w:id="51" w:name="OLE_LINK10" w:colFirst="0" w:colLast="2"/>
            <w:r>
              <w:rPr>
                <w:rFonts w:hint="eastAsia" w:ascii="宋体" w:hAnsi="宋体" w:eastAsia="Times New Roman" w:cs="宋体"/>
                <w:kern w:val="2"/>
                <w:sz w:val="24"/>
                <w:szCs w:val="24"/>
                <w:lang w:val="en-US" w:eastAsia="zh-CN" w:bidi="ar-SA"/>
              </w:rPr>
              <w:t>质量保证措施</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default" w:ascii="宋体" w:hAnsi="宋体" w:eastAsia="Times New Roman" w:cs="宋体"/>
                <w:kern w:val="2"/>
                <w:sz w:val="24"/>
                <w:szCs w:val="24"/>
                <w:lang w:val="en-US" w:eastAsia="zh-CN" w:bidi="ar-SA"/>
              </w:rPr>
            </w:pPr>
            <w:r>
              <w:rPr>
                <w:rFonts w:hint="eastAsia" w:ascii="宋体" w:hAnsi="宋体" w:eastAsia="宋体" w:cs="宋体"/>
                <w:sz w:val="24"/>
                <w:szCs w:val="24"/>
                <w:lang w:val="en-US" w:eastAsia="zh-CN"/>
              </w:rPr>
              <w:t>12</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snapToGrid w:val="0"/>
                <w:color w:val="000000"/>
                <w:kern w:val="0"/>
                <w:sz w:val="24"/>
                <w:szCs w:val="24"/>
                <w:lang w:val="en-US" w:eastAsia="zh-CN" w:bidi="ar"/>
              </w:rPr>
              <w:t>根据投标人提供的(1)质量保障措施、(2)质量控制流程、（3）质量目标承诺</w:t>
            </w:r>
            <w:r>
              <w:rPr>
                <w:rFonts w:hint="eastAsia" w:ascii="宋体" w:hAnsi="宋体" w:cs="宋体"/>
                <w:snapToGrid w:val="0"/>
                <w:color w:val="000000"/>
                <w:kern w:val="0"/>
                <w:sz w:val="24"/>
                <w:szCs w:val="24"/>
                <w:lang w:val="en-US" w:eastAsia="zh-CN" w:bidi="ar"/>
              </w:rPr>
              <w:t>三</w:t>
            </w:r>
            <w:r>
              <w:rPr>
                <w:rFonts w:hint="eastAsia" w:ascii="宋体" w:hAnsi="宋体" w:eastAsia="Times New Roman" w:cs="宋体"/>
                <w:snapToGrid w:val="0"/>
                <w:color w:val="000000"/>
                <w:kern w:val="0"/>
                <w:sz w:val="24"/>
                <w:szCs w:val="24"/>
                <w:lang w:val="en-US" w:eastAsia="zh-CN" w:bidi="ar"/>
              </w:rPr>
              <w:t>项进行综合评审。每项内容各占</w:t>
            </w:r>
            <w:r>
              <w:rPr>
                <w:rFonts w:hint="eastAsia" w:ascii="宋体" w:hAnsi="宋体" w:cs="宋体"/>
                <w:snapToGrid w:val="0"/>
                <w:color w:val="000000"/>
                <w:kern w:val="0"/>
                <w:sz w:val="24"/>
                <w:szCs w:val="24"/>
                <w:lang w:val="en-US" w:eastAsia="zh-CN" w:bidi="ar"/>
              </w:rPr>
              <w:t>4</w:t>
            </w:r>
            <w:r>
              <w:rPr>
                <w:rFonts w:hint="eastAsia" w:ascii="宋体" w:hAnsi="宋体" w:eastAsia="Times New Roman" w:cs="宋体"/>
                <w:snapToGrid w:val="0"/>
                <w:color w:val="000000"/>
                <w:kern w:val="0"/>
                <w:sz w:val="24"/>
                <w:szCs w:val="24"/>
                <w:lang w:val="en-US" w:eastAsia="zh-CN" w:bidi="ar"/>
              </w:rPr>
              <w:t>分，共</w:t>
            </w:r>
            <w:r>
              <w:rPr>
                <w:rFonts w:hint="eastAsia" w:ascii="宋体" w:hAnsi="宋体" w:cs="宋体"/>
                <w:snapToGrid w:val="0"/>
                <w:color w:val="000000"/>
                <w:kern w:val="0"/>
                <w:sz w:val="24"/>
                <w:szCs w:val="24"/>
                <w:lang w:val="en-US" w:eastAsia="zh-CN" w:bidi="ar"/>
              </w:rPr>
              <w:t>12</w:t>
            </w:r>
            <w:r>
              <w:rPr>
                <w:rFonts w:hint="eastAsia" w:ascii="宋体" w:hAnsi="宋体" w:eastAsia="Times New Roman" w:cs="宋体"/>
                <w:snapToGrid w:val="0"/>
                <w:color w:val="000000"/>
                <w:kern w:val="0"/>
                <w:sz w:val="24"/>
                <w:szCs w:val="24"/>
                <w:lang w:val="en-US" w:eastAsia="zh-CN" w:bidi="ar"/>
              </w:rPr>
              <w:t>分；每有一项内容缺失扣</w:t>
            </w:r>
            <w:r>
              <w:rPr>
                <w:rFonts w:hint="eastAsia" w:ascii="宋体" w:hAnsi="宋体" w:cs="宋体"/>
                <w:snapToGrid w:val="0"/>
                <w:color w:val="000000"/>
                <w:kern w:val="0"/>
                <w:sz w:val="24"/>
                <w:szCs w:val="24"/>
                <w:lang w:val="en-US" w:eastAsia="zh-CN" w:bidi="ar"/>
              </w:rPr>
              <w:t>4</w:t>
            </w:r>
            <w:r>
              <w:rPr>
                <w:rFonts w:hint="eastAsia" w:ascii="宋体" w:hAnsi="宋体" w:eastAsia="Times New Roman" w:cs="宋体"/>
                <w:snapToGrid w:val="0"/>
                <w:color w:val="000000"/>
                <w:kern w:val="0"/>
                <w:sz w:val="24"/>
                <w:szCs w:val="24"/>
                <w:lang w:val="en-US" w:eastAsia="zh-CN" w:bidi="ar"/>
              </w:rPr>
              <w:t>分，每有一项内容不合理</w:t>
            </w:r>
            <w:r>
              <w:rPr>
                <w:rFonts w:hint="eastAsia" w:ascii="宋体" w:hAnsi="宋体" w:cs="宋体"/>
                <w:snapToGrid w:val="0"/>
                <w:color w:val="000000"/>
                <w:kern w:val="0"/>
                <w:sz w:val="24"/>
                <w:szCs w:val="24"/>
                <w:lang w:val="en-US" w:eastAsia="zh-CN" w:bidi="ar"/>
              </w:rPr>
              <w:t>、不完善、</w:t>
            </w:r>
            <w:r>
              <w:rPr>
                <w:rFonts w:hint="eastAsia" w:ascii="宋体" w:hAnsi="宋体" w:eastAsia="Times New Roman" w:cs="宋体"/>
                <w:snapToGrid w:val="0"/>
                <w:color w:val="000000"/>
                <w:kern w:val="0"/>
                <w:sz w:val="24"/>
                <w:szCs w:val="24"/>
                <w:lang w:val="en-US" w:eastAsia="zh-CN" w:bidi="ar"/>
              </w:rPr>
              <w:t>不切合实际的扣</w:t>
            </w:r>
            <w:r>
              <w:rPr>
                <w:rFonts w:hint="eastAsia" w:ascii="宋体" w:hAnsi="宋体" w:cs="宋体"/>
                <w:snapToGrid w:val="0"/>
                <w:color w:val="000000"/>
                <w:kern w:val="0"/>
                <w:sz w:val="24"/>
                <w:szCs w:val="24"/>
                <w:lang w:val="en-US" w:eastAsia="zh-CN" w:bidi="ar"/>
              </w:rPr>
              <w:t>1</w:t>
            </w:r>
            <w:r>
              <w:rPr>
                <w:rFonts w:hint="eastAsia" w:ascii="宋体" w:hAnsi="宋体" w:eastAsia="Times New Roman" w:cs="宋体"/>
                <w:snapToGrid w:val="0"/>
                <w:color w:val="000000"/>
                <w:kern w:val="0"/>
                <w:sz w:val="24"/>
                <w:szCs w:val="24"/>
                <w:lang w:val="en-US" w:eastAsia="zh-CN" w:bidi="ar"/>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应急保障服务</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default" w:ascii="宋体" w:hAnsi="宋体" w:eastAsia="Times New Roman" w:cs="宋体"/>
                <w:kern w:val="2"/>
                <w:sz w:val="24"/>
                <w:szCs w:val="24"/>
                <w:lang w:val="en-US" w:eastAsia="zh-CN" w:bidi="ar-SA"/>
              </w:rPr>
            </w:pPr>
            <w:r>
              <w:rPr>
                <w:rFonts w:hint="eastAsia" w:ascii="宋体" w:hAnsi="宋体" w:eastAsia="宋体" w:cs="宋体"/>
                <w:sz w:val="24"/>
                <w:szCs w:val="24"/>
                <w:lang w:val="en-US" w:eastAsia="zh-CN"/>
              </w:rPr>
              <w:t>18</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snapToGrid w:val="0"/>
                <w:color w:val="000000"/>
                <w:kern w:val="0"/>
                <w:sz w:val="24"/>
                <w:szCs w:val="24"/>
                <w:lang w:val="en-US" w:eastAsia="zh-CN" w:bidi="ar"/>
              </w:rPr>
              <w:t>根据投标人提供的（1）突发事件系统恢复流程（2）事件分析总结（3）数据备份方案三项内容进行综合评审。每项内容各占</w:t>
            </w:r>
            <w:r>
              <w:rPr>
                <w:rFonts w:hint="eastAsia" w:ascii="宋体" w:hAnsi="宋体" w:cs="宋体"/>
                <w:snapToGrid w:val="0"/>
                <w:color w:val="000000"/>
                <w:kern w:val="0"/>
                <w:sz w:val="24"/>
                <w:szCs w:val="24"/>
                <w:lang w:val="en-US" w:eastAsia="zh-CN" w:bidi="ar"/>
              </w:rPr>
              <w:t>6</w:t>
            </w:r>
            <w:r>
              <w:rPr>
                <w:rFonts w:hint="eastAsia" w:ascii="宋体" w:hAnsi="宋体" w:eastAsia="Times New Roman" w:cs="宋体"/>
                <w:snapToGrid w:val="0"/>
                <w:color w:val="000000"/>
                <w:kern w:val="0"/>
                <w:sz w:val="24"/>
                <w:szCs w:val="24"/>
                <w:lang w:val="en-US" w:eastAsia="zh-CN" w:bidi="ar"/>
              </w:rPr>
              <w:t>分，共</w:t>
            </w:r>
            <w:r>
              <w:rPr>
                <w:rFonts w:hint="eastAsia" w:ascii="宋体" w:hAnsi="宋体" w:cs="宋体"/>
                <w:snapToGrid w:val="0"/>
                <w:color w:val="000000"/>
                <w:kern w:val="0"/>
                <w:sz w:val="24"/>
                <w:szCs w:val="24"/>
                <w:lang w:val="en-US" w:eastAsia="zh-CN" w:bidi="ar"/>
              </w:rPr>
              <w:t>18</w:t>
            </w:r>
            <w:r>
              <w:rPr>
                <w:rFonts w:hint="eastAsia" w:ascii="宋体" w:hAnsi="宋体" w:eastAsia="Times New Roman" w:cs="宋体"/>
                <w:snapToGrid w:val="0"/>
                <w:color w:val="000000"/>
                <w:kern w:val="0"/>
                <w:sz w:val="24"/>
                <w:szCs w:val="24"/>
                <w:lang w:val="en-US" w:eastAsia="zh-CN" w:bidi="ar"/>
              </w:rPr>
              <w:t>分；每有一项内容缺失扣</w:t>
            </w:r>
            <w:r>
              <w:rPr>
                <w:rFonts w:hint="eastAsia" w:ascii="宋体" w:hAnsi="宋体" w:cs="宋体"/>
                <w:snapToGrid w:val="0"/>
                <w:color w:val="000000"/>
                <w:kern w:val="0"/>
                <w:sz w:val="24"/>
                <w:szCs w:val="24"/>
                <w:lang w:val="en-US" w:eastAsia="zh-CN" w:bidi="ar"/>
              </w:rPr>
              <w:t>6</w:t>
            </w:r>
            <w:r>
              <w:rPr>
                <w:rFonts w:hint="eastAsia" w:ascii="宋体" w:hAnsi="宋体" w:eastAsia="Times New Roman" w:cs="宋体"/>
                <w:snapToGrid w:val="0"/>
                <w:color w:val="000000"/>
                <w:kern w:val="0"/>
                <w:sz w:val="24"/>
                <w:szCs w:val="24"/>
                <w:lang w:val="en-US" w:eastAsia="zh-CN" w:bidi="ar"/>
              </w:rPr>
              <w:t>分，每有一项内容不合理</w:t>
            </w:r>
            <w:r>
              <w:rPr>
                <w:rFonts w:hint="eastAsia" w:ascii="宋体" w:hAnsi="宋体" w:cs="宋体"/>
                <w:snapToGrid w:val="0"/>
                <w:color w:val="000000"/>
                <w:kern w:val="0"/>
                <w:sz w:val="24"/>
                <w:szCs w:val="24"/>
                <w:lang w:val="en-US" w:eastAsia="zh-CN" w:bidi="ar"/>
              </w:rPr>
              <w:t>、不完善、</w:t>
            </w:r>
            <w:r>
              <w:rPr>
                <w:rFonts w:hint="eastAsia" w:ascii="宋体" w:hAnsi="宋体" w:eastAsia="Times New Roman" w:cs="宋体"/>
                <w:snapToGrid w:val="0"/>
                <w:color w:val="000000"/>
                <w:kern w:val="0"/>
                <w:sz w:val="24"/>
                <w:szCs w:val="24"/>
                <w:lang w:val="en-US" w:eastAsia="zh-CN" w:bidi="ar"/>
              </w:rPr>
              <w:t>不切合实际的扣2分，扣完为止。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cs="宋体"/>
                <w:sz w:val="24"/>
                <w:szCs w:val="24"/>
              </w:rPr>
              <w:t>培训方案</w:t>
            </w:r>
          </w:p>
        </w:tc>
        <w:tc>
          <w:tcPr>
            <w:tcW w:w="1176" w:type="dxa"/>
            <w:vAlign w:val="center"/>
          </w:tcPr>
          <w:p>
            <w:pPr>
              <w:widowControl/>
              <w:kinsoku w:val="0"/>
              <w:autoSpaceDE w:val="0"/>
              <w:autoSpaceDN w:val="0"/>
              <w:adjustRightInd w:val="0"/>
              <w:snapToGrid w:val="0"/>
              <w:spacing w:line="360" w:lineRule="auto"/>
              <w:jc w:val="center"/>
              <w:rPr>
                <w:rFonts w:hint="eastAsia" w:ascii="宋体" w:hAnsi="宋体" w:eastAsia="Times New Roman"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6940" w:type="dxa"/>
            <w:vAlign w:val="center"/>
          </w:tcPr>
          <w:p>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snapToGrid w:val="0"/>
                <w:color w:val="000000"/>
                <w:kern w:val="0"/>
                <w:sz w:val="24"/>
                <w:szCs w:val="24"/>
                <w:lang w:val="en-US" w:eastAsia="zh-CN" w:bidi="ar"/>
              </w:rPr>
              <w:t>根据投标人提供的(1)培训内容、(2)培训目标、(3)培训计划、(4)培训方式四项进行综合评审。每项内容各占</w:t>
            </w:r>
            <w:r>
              <w:rPr>
                <w:rFonts w:hint="eastAsia" w:ascii="宋体" w:hAnsi="宋体" w:cs="宋体"/>
                <w:snapToGrid w:val="0"/>
                <w:color w:val="000000"/>
                <w:kern w:val="0"/>
                <w:sz w:val="24"/>
                <w:szCs w:val="24"/>
                <w:lang w:val="en-US" w:eastAsia="zh-CN" w:bidi="ar"/>
              </w:rPr>
              <w:t>3</w:t>
            </w:r>
            <w:r>
              <w:rPr>
                <w:rFonts w:hint="eastAsia" w:ascii="宋体" w:hAnsi="宋体" w:eastAsia="Times New Roman" w:cs="宋体"/>
                <w:snapToGrid w:val="0"/>
                <w:color w:val="000000"/>
                <w:kern w:val="0"/>
                <w:sz w:val="24"/>
                <w:szCs w:val="24"/>
                <w:lang w:val="en-US" w:eastAsia="zh-CN" w:bidi="ar"/>
              </w:rPr>
              <w:t>分，共</w:t>
            </w:r>
            <w:r>
              <w:rPr>
                <w:rFonts w:hint="eastAsia" w:ascii="宋体" w:hAnsi="宋体" w:cs="宋体"/>
                <w:snapToGrid w:val="0"/>
                <w:color w:val="000000"/>
                <w:kern w:val="0"/>
                <w:sz w:val="24"/>
                <w:szCs w:val="24"/>
                <w:lang w:val="en-US" w:eastAsia="zh-CN" w:bidi="ar"/>
              </w:rPr>
              <w:t>12</w:t>
            </w:r>
            <w:r>
              <w:rPr>
                <w:rFonts w:hint="eastAsia" w:ascii="宋体" w:hAnsi="宋体" w:eastAsia="Times New Roman" w:cs="宋体"/>
                <w:snapToGrid w:val="0"/>
                <w:color w:val="000000"/>
                <w:kern w:val="0"/>
                <w:sz w:val="24"/>
                <w:szCs w:val="24"/>
                <w:lang w:val="en-US" w:eastAsia="zh-CN" w:bidi="ar"/>
              </w:rPr>
              <w:t>分；每有一项内容缺失扣</w:t>
            </w:r>
            <w:r>
              <w:rPr>
                <w:rFonts w:hint="eastAsia" w:ascii="宋体" w:hAnsi="宋体" w:cs="宋体"/>
                <w:snapToGrid w:val="0"/>
                <w:color w:val="000000"/>
                <w:kern w:val="0"/>
                <w:sz w:val="24"/>
                <w:szCs w:val="24"/>
                <w:lang w:val="en-US" w:eastAsia="zh-CN" w:bidi="ar"/>
              </w:rPr>
              <w:t>3</w:t>
            </w:r>
            <w:r>
              <w:rPr>
                <w:rFonts w:hint="eastAsia" w:ascii="宋体" w:hAnsi="宋体" w:eastAsia="Times New Roman" w:cs="宋体"/>
                <w:snapToGrid w:val="0"/>
                <w:color w:val="000000"/>
                <w:kern w:val="0"/>
                <w:sz w:val="24"/>
                <w:szCs w:val="24"/>
                <w:lang w:val="en-US" w:eastAsia="zh-CN" w:bidi="ar"/>
              </w:rPr>
              <w:t>分，每有一项内容不合理、不清晰或不具体的扣1分，扣完为止。</w:t>
            </w: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 w:val="24"/>
                <w:szCs w:val="24"/>
                <w:lang w:val="en-US" w:eastAsia="zh-CN" w:bidi="ar"/>
              </w:rPr>
            </w:pPr>
            <w:r>
              <w:rPr>
                <w:rFonts w:hint="default" w:ascii="宋体" w:hAnsi="宋体" w:eastAsia="宋体" w:cs="宋体"/>
                <w:snapToGrid w:val="0"/>
                <w:color w:val="000000"/>
                <w:kern w:val="0"/>
                <w:sz w:val="24"/>
                <w:szCs w:val="24"/>
                <w:lang w:val="en-US" w:eastAsia="zh-CN" w:bidi="ar"/>
              </w:rPr>
              <w:t>售后服务方案</w:t>
            </w:r>
          </w:p>
        </w:tc>
        <w:tc>
          <w:tcPr>
            <w:tcW w:w="1176" w:type="dxa"/>
            <w:vAlign w:val="center"/>
          </w:tcPr>
          <w:p>
            <w:pPr>
              <w:widowControl/>
              <w:kinsoku w:val="0"/>
              <w:autoSpaceDE w:val="0"/>
              <w:autoSpaceDN w:val="0"/>
              <w:adjustRightInd w:val="0"/>
              <w:snapToGrid w:val="0"/>
              <w:spacing w:line="360" w:lineRule="auto"/>
              <w:jc w:val="center"/>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8</w:t>
            </w:r>
          </w:p>
        </w:tc>
        <w:tc>
          <w:tcPr>
            <w:tcW w:w="6940" w:type="dxa"/>
            <w:vAlign w:val="center"/>
          </w:tcPr>
          <w:p>
            <w:pPr>
              <w:widowControl/>
              <w:kinsoku w:val="0"/>
              <w:autoSpaceDE w:val="0"/>
              <w:autoSpaceDN w:val="0"/>
              <w:adjustRightInd w:val="0"/>
              <w:snapToGrid w:val="0"/>
              <w:spacing w:line="324" w:lineRule="auto"/>
              <w:rPr>
                <w:rFonts w:hint="default" w:ascii="宋体" w:hAnsi="宋体" w:eastAsia="Times New Roman" w:cs="宋体"/>
                <w:snapToGrid w:val="0"/>
                <w:color w:val="000000"/>
                <w:kern w:val="0"/>
                <w:sz w:val="24"/>
                <w:szCs w:val="24"/>
                <w:lang w:val="en-US" w:eastAsia="zh-CN" w:bidi="ar"/>
              </w:rPr>
            </w:pPr>
            <w:r>
              <w:rPr>
                <w:rFonts w:hint="default" w:ascii="宋体" w:hAnsi="宋体" w:eastAsia="Times New Roman" w:cs="宋体"/>
                <w:snapToGrid w:val="0"/>
                <w:color w:val="000000"/>
                <w:kern w:val="0"/>
                <w:sz w:val="24"/>
                <w:szCs w:val="24"/>
                <w:lang w:val="en-US" w:eastAsia="zh-CN" w:bidi="ar"/>
              </w:rPr>
              <w:t>根据投标人提供的</w:t>
            </w:r>
            <w:r>
              <w:rPr>
                <w:rFonts w:hint="eastAsia" w:ascii="宋体" w:hAnsi="宋体" w:eastAsia="Times New Roman" w:cs="宋体"/>
                <w:snapToGrid w:val="0"/>
                <w:color w:val="000000"/>
                <w:kern w:val="0"/>
                <w:sz w:val="24"/>
                <w:szCs w:val="24"/>
                <w:lang w:val="en-US" w:eastAsia="zh-CN" w:bidi="ar"/>
              </w:rPr>
              <w:t>(1)</w:t>
            </w:r>
            <w:r>
              <w:rPr>
                <w:rFonts w:hint="default" w:ascii="宋体" w:hAnsi="宋体" w:eastAsia="Times New Roman" w:cs="宋体"/>
                <w:snapToGrid w:val="0"/>
                <w:color w:val="000000"/>
                <w:kern w:val="0"/>
                <w:sz w:val="24"/>
                <w:szCs w:val="24"/>
                <w:lang w:val="en-US" w:eastAsia="zh-CN" w:bidi="ar"/>
              </w:rPr>
              <w:t>故障响应时间及方案</w:t>
            </w:r>
            <w:r>
              <w:rPr>
                <w:rFonts w:hint="eastAsia" w:ascii="宋体" w:hAnsi="宋体" w:cs="宋体"/>
                <w:snapToGrid w:val="0"/>
                <w:color w:val="000000"/>
                <w:kern w:val="0"/>
                <w:sz w:val="24"/>
                <w:szCs w:val="24"/>
                <w:lang w:val="en-US" w:eastAsia="zh-CN" w:bidi="ar"/>
              </w:rPr>
              <w:t>、</w:t>
            </w:r>
            <w:r>
              <w:rPr>
                <w:rFonts w:hint="eastAsia" w:ascii="宋体" w:hAnsi="宋体" w:eastAsia="Times New Roman" w:cs="宋体"/>
                <w:snapToGrid w:val="0"/>
                <w:color w:val="000000"/>
                <w:kern w:val="0"/>
                <w:sz w:val="24"/>
                <w:szCs w:val="24"/>
                <w:lang w:val="en-US" w:eastAsia="zh-CN" w:bidi="ar"/>
              </w:rPr>
              <w:t>(2)</w:t>
            </w:r>
            <w:r>
              <w:rPr>
                <w:rFonts w:hint="default" w:ascii="宋体" w:hAnsi="宋体" w:eastAsia="Times New Roman" w:cs="宋体"/>
                <w:snapToGrid w:val="0"/>
                <w:color w:val="000000"/>
                <w:kern w:val="0"/>
                <w:sz w:val="24"/>
                <w:szCs w:val="24"/>
                <w:lang w:val="en-US" w:eastAsia="zh-CN" w:bidi="ar"/>
              </w:rPr>
              <w:t>保修期后服务两项内容进行综合评审。每项内容各占</w:t>
            </w:r>
            <w:r>
              <w:rPr>
                <w:rFonts w:hint="eastAsia" w:ascii="宋体" w:hAnsi="宋体" w:cs="宋体"/>
                <w:snapToGrid w:val="0"/>
                <w:color w:val="000000"/>
                <w:kern w:val="0"/>
                <w:sz w:val="24"/>
                <w:szCs w:val="24"/>
                <w:lang w:val="en-US" w:eastAsia="zh-CN" w:bidi="ar"/>
              </w:rPr>
              <w:t>4</w:t>
            </w:r>
            <w:r>
              <w:rPr>
                <w:rFonts w:hint="default" w:ascii="宋体" w:hAnsi="宋体" w:eastAsia="Times New Roman" w:cs="宋体"/>
                <w:snapToGrid w:val="0"/>
                <w:color w:val="000000"/>
                <w:kern w:val="0"/>
                <w:sz w:val="24"/>
                <w:szCs w:val="24"/>
                <w:lang w:val="en-US" w:eastAsia="zh-CN" w:bidi="ar"/>
              </w:rPr>
              <w:t>分，共</w:t>
            </w:r>
            <w:r>
              <w:rPr>
                <w:rFonts w:hint="eastAsia" w:ascii="宋体" w:hAnsi="宋体" w:cs="宋体"/>
                <w:snapToGrid w:val="0"/>
                <w:color w:val="000000"/>
                <w:kern w:val="0"/>
                <w:sz w:val="24"/>
                <w:szCs w:val="24"/>
                <w:lang w:val="en-US" w:eastAsia="zh-CN" w:bidi="ar"/>
              </w:rPr>
              <w:t>8</w:t>
            </w:r>
            <w:r>
              <w:rPr>
                <w:rFonts w:hint="default" w:ascii="宋体" w:hAnsi="宋体" w:eastAsia="Times New Roman" w:cs="宋体"/>
                <w:snapToGrid w:val="0"/>
                <w:color w:val="000000"/>
                <w:kern w:val="0"/>
                <w:sz w:val="24"/>
                <w:szCs w:val="24"/>
                <w:lang w:val="en-US" w:eastAsia="zh-CN" w:bidi="ar"/>
              </w:rPr>
              <w:t>分；每有一项内容缺失扣</w:t>
            </w:r>
            <w:r>
              <w:rPr>
                <w:rFonts w:hint="eastAsia" w:ascii="宋体" w:hAnsi="宋体" w:cs="宋体"/>
                <w:snapToGrid w:val="0"/>
                <w:color w:val="000000"/>
                <w:kern w:val="0"/>
                <w:sz w:val="24"/>
                <w:szCs w:val="24"/>
                <w:lang w:val="en-US" w:eastAsia="zh-CN" w:bidi="ar"/>
              </w:rPr>
              <w:t>4</w:t>
            </w:r>
            <w:r>
              <w:rPr>
                <w:rFonts w:hint="default" w:ascii="宋体" w:hAnsi="宋体" w:eastAsia="Times New Roman" w:cs="宋体"/>
                <w:snapToGrid w:val="0"/>
                <w:color w:val="000000"/>
                <w:kern w:val="0"/>
                <w:sz w:val="24"/>
                <w:szCs w:val="24"/>
                <w:lang w:val="en-US" w:eastAsia="zh-CN" w:bidi="ar"/>
              </w:rPr>
              <w:t>分，每有一项内容不合理、不完善、不切合实际的扣</w:t>
            </w:r>
            <w:r>
              <w:rPr>
                <w:rFonts w:hint="eastAsia" w:ascii="宋体" w:hAnsi="宋体" w:cs="宋体"/>
                <w:snapToGrid w:val="0"/>
                <w:color w:val="000000"/>
                <w:kern w:val="0"/>
                <w:sz w:val="24"/>
                <w:szCs w:val="24"/>
                <w:lang w:val="en-US" w:eastAsia="zh-CN" w:bidi="ar"/>
              </w:rPr>
              <w:t>1</w:t>
            </w:r>
            <w:r>
              <w:rPr>
                <w:rFonts w:hint="default" w:ascii="宋体" w:hAnsi="宋体" w:eastAsia="Times New Roman" w:cs="宋体"/>
                <w:snapToGrid w:val="0"/>
                <w:color w:val="000000"/>
                <w:kern w:val="0"/>
                <w:sz w:val="24"/>
                <w:szCs w:val="24"/>
                <w:lang w:val="en-US" w:eastAsia="zh-CN" w:bidi="ar"/>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pPr>
              <w:widowControl/>
              <w:kinsoku w:val="0"/>
              <w:autoSpaceDE w:val="0"/>
              <w:autoSpaceDN w:val="0"/>
              <w:adjustRightInd w:val="0"/>
              <w:snapToGrid w:val="0"/>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总计</w:t>
            </w:r>
          </w:p>
        </w:tc>
        <w:tc>
          <w:tcPr>
            <w:tcW w:w="1176" w:type="dxa"/>
            <w:vAlign w:val="center"/>
          </w:tcPr>
          <w:p>
            <w:pPr>
              <w:widowControl/>
              <w:kinsoku w:val="0"/>
              <w:autoSpaceDE w:val="0"/>
              <w:autoSpaceDN w:val="0"/>
              <w:adjustRightInd w:val="0"/>
              <w:snapToGrid w:val="0"/>
              <w:spacing w:line="360" w:lineRule="auto"/>
              <w:jc w:val="center"/>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70</w:t>
            </w:r>
          </w:p>
        </w:tc>
        <w:tc>
          <w:tcPr>
            <w:tcW w:w="6940" w:type="dxa"/>
            <w:vAlign w:val="center"/>
          </w:tcPr>
          <w:p>
            <w:pPr>
              <w:widowControl/>
              <w:kinsoku w:val="0"/>
              <w:autoSpaceDE w:val="0"/>
              <w:autoSpaceDN w:val="0"/>
              <w:adjustRightInd w:val="0"/>
              <w:snapToGrid w:val="0"/>
              <w:spacing w:line="324" w:lineRule="auto"/>
              <w:rPr>
                <w:rFonts w:hint="eastAsia" w:ascii="宋体" w:hAnsi="宋体" w:cs="宋体"/>
                <w:sz w:val="24"/>
                <w:szCs w:val="24"/>
              </w:rPr>
            </w:pPr>
          </w:p>
        </w:tc>
      </w:tr>
    </w:tbl>
    <w:p>
      <w:pPr>
        <w:tabs>
          <w:tab w:val="left" w:pos="0"/>
        </w:tabs>
        <w:spacing w:line="360" w:lineRule="auto"/>
        <w:ind w:right="-11"/>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说明：</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（1）评分计算中出现中间值时按插入法计算，计算保留小数点后两位，第三位四舍五入。</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（2）以上内容，缺项的，该项按0分计。</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对各项得分</w:t>
      </w:r>
      <w:r>
        <w:rPr>
          <w:rFonts w:hint="eastAsia" w:ascii="宋体" w:hAnsi="宋体" w:eastAsia="宋体" w:cs="宋体"/>
          <w:color w:val="auto"/>
          <w:sz w:val="24"/>
          <w:szCs w:val="24"/>
          <w:highlight w:val="none"/>
          <w:lang w:eastAsia="zh-CN"/>
        </w:rPr>
        <w:t>总分</w:t>
      </w:r>
      <w:r>
        <w:rPr>
          <w:rFonts w:hint="eastAsia" w:ascii="宋体" w:hAnsi="宋体" w:eastAsia="宋体" w:cs="宋体"/>
          <w:color w:val="auto"/>
          <w:sz w:val="24"/>
          <w:szCs w:val="24"/>
          <w:highlight w:val="none"/>
        </w:rPr>
        <w:t>的算术平均值即为该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的综合评价得分为报价、</w:t>
      </w:r>
      <w:r>
        <w:rPr>
          <w:rFonts w:hint="eastAsia" w:ascii="宋体" w:hAnsi="宋体" w:eastAsia="宋体" w:cs="宋体"/>
          <w:color w:val="auto"/>
          <w:sz w:val="24"/>
          <w:szCs w:val="24"/>
          <w:highlight w:val="none"/>
          <w:lang w:eastAsia="zh-CN"/>
        </w:rPr>
        <w:t>服务方案</w:t>
      </w:r>
      <w:r>
        <w:rPr>
          <w:rFonts w:hint="eastAsia" w:ascii="宋体" w:hAnsi="宋体" w:eastAsia="宋体" w:cs="宋体"/>
          <w:color w:val="auto"/>
          <w:sz w:val="24"/>
          <w:szCs w:val="24"/>
          <w:highlight w:val="none"/>
        </w:rPr>
        <w:t>得分之和。</w:t>
      </w:r>
    </w:p>
    <w:p>
      <w:pPr>
        <w:tabs>
          <w:tab w:val="left" w:pos="0"/>
        </w:tabs>
        <w:spacing w:line="360" w:lineRule="auto"/>
        <w:ind w:right="-1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定标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采购人授权磋商小组按照得分排名确定排名第一</w:t>
      </w:r>
      <w:r>
        <w:rPr>
          <w:rFonts w:hint="eastAsia" w:ascii="宋体" w:hAnsi="宋体" w:eastAsia="宋体" w:cs="宋体"/>
          <w:color w:val="auto"/>
          <w:sz w:val="24"/>
          <w:szCs w:val="24"/>
          <w:highlight w:val="none"/>
          <w:lang w:eastAsia="zh-CN"/>
        </w:rPr>
        <w:t>成交候选人</w:t>
      </w:r>
      <w:r>
        <w:rPr>
          <w:rFonts w:hint="eastAsia" w:ascii="宋体" w:hAnsi="宋体" w:eastAsia="宋体" w:cs="宋体"/>
          <w:color w:val="auto"/>
          <w:sz w:val="24"/>
          <w:szCs w:val="24"/>
          <w:highlight w:val="none"/>
        </w:rPr>
        <w:t>的为该项目成交供应商。</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评标结果按评审后得分由高到低顺序排列。得分相同的，按投标报价由</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顺序排列。得分且投标报价相同的并列。且并列第一供应商响应文件满足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全部实质性要求，且按照评审因素的量化指标评审得分最高的供应商为排名第一的成交候选人。</w:t>
      </w:r>
    </w:p>
    <w:p>
      <w:pPr>
        <w:tabs>
          <w:tab w:val="left" w:pos="0"/>
        </w:tabs>
        <w:spacing w:line="360" w:lineRule="auto"/>
        <w:ind w:right="-11" w:firstLine="480" w:firstLineChars="200"/>
        <w:rPr>
          <w:rFonts w:hint="eastAsia" w:ascii="宋体" w:hAnsi="宋体" w:eastAsia="宋体" w:cs="宋体"/>
          <w:b/>
          <w:bCs/>
          <w:color w:val="auto"/>
          <w:spacing w:val="1"/>
          <w:kern w:val="0"/>
          <w:sz w:val="21"/>
          <w:szCs w:val="21"/>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磋商小组完成评标后，应当向采购人提交评标报告。</w:t>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附件1：</w:t>
      </w:r>
    </w:p>
    <w:p>
      <w:pPr>
        <w:pStyle w:val="4"/>
        <w:tabs>
          <w:tab w:val="left" w:pos="720"/>
        </w:tabs>
        <w:jc w:val="center"/>
        <w:rPr>
          <w:rFonts w:hint="eastAsia" w:ascii="宋体" w:hAnsi="宋体" w:eastAsia="宋体" w:cs="宋体"/>
          <w:b/>
          <w:bCs/>
          <w:sz w:val="28"/>
          <w:szCs w:val="28"/>
          <w:highlight w:val="none"/>
        </w:rPr>
      </w:pPr>
      <w:bookmarkStart w:id="52" w:name="_Toc22340"/>
      <w:r>
        <w:rPr>
          <w:rFonts w:hint="eastAsia" w:ascii="宋体" w:hAnsi="宋体" w:eastAsia="宋体" w:cs="宋体"/>
          <w:b/>
          <w:bCs/>
          <w:sz w:val="28"/>
          <w:szCs w:val="28"/>
          <w:highlight w:val="none"/>
          <w:lang w:eastAsia="zh-CN"/>
        </w:rPr>
        <w:t>二</w:t>
      </w:r>
      <w:r>
        <w:rPr>
          <w:rFonts w:hint="eastAsia" w:ascii="宋体" w:hAnsi="宋体" w:eastAsia="宋体" w:cs="宋体"/>
          <w:b/>
          <w:bCs/>
          <w:sz w:val="28"/>
          <w:szCs w:val="28"/>
          <w:highlight w:val="none"/>
        </w:rPr>
        <w:t>次报价表</w:t>
      </w:r>
    </w:p>
    <w:p>
      <w:pPr>
        <w:pStyle w:val="17"/>
        <w:rPr>
          <w:rFonts w:hint="eastAsia"/>
          <w:highlight w:val="none"/>
          <w:lang w:val="en-US" w:eastAsia="zh-CN"/>
        </w:rPr>
      </w:pP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项目编号：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项目名称：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供应商名称：                         (加盖供应商公章)              </w:t>
      </w:r>
      <w:r>
        <w:rPr>
          <w:rFonts w:hint="eastAsia" w:ascii="宋体" w:hAnsi="宋体" w:eastAsia="宋体" w:cs="宋体"/>
          <w:spacing w:val="-1"/>
          <w:position w:val="2"/>
          <w:sz w:val="21"/>
          <w:szCs w:val="21"/>
          <w:highlight w:val="none"/>
          <w:lang w:val="en-US" w:eastAsia="zh-CN"/>
        </w:rPr>
        <w:t xml:space="preserve"> </w:t>
      </w:r>
      <w:r>
        <w:rPr>
          <w:rFonts w:hint="eastAsia" w:ascii="宋体" w:hAnsi="宋体" w:eastAsia="宋体" w:cs="宋体"/>
          <w:spacing w:val="-1"/>
          <w:position w:val="2"/>
          <w:sz w:val="21"/>
          <w:szCs w:val="21"/>
          <w:highlight w:val="none"/>
        </w:rPr>
        <w:t>单位：元(人民币)</w:t>
      </w:r>
    </w:p>
    <w:tbl>
      <w:tblPr>
        <w:tblStyle w:val="20"/>
        <w:tblW w:w="10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602"/>
        <w:gridCol w:w="1623"/>
        <w:gridCol w:w="880"/>
        <w:gridCol w:w="1127"/>
        <w:gridCol w:w="682"/>
        <w:gridCol w:w="1150"/>
        <w:gridCol w:w="1234"/>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序号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生产厂家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品牌</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规格型号</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单价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default"/>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center"/>
              <w:rPr>
                <w:rFonts w:hint="default" w:eastAsia="宋体"/>
                <w:sz w:val="21"/>
                <w:szCs w:val="21"/>
                <w:lang w:val="en-US" w:eastAsia="zh-CN"/>
              </w:rPr>
            </w:pPr>
            <w:r>
              <w:rPr>
                <w:rFonts w:hint="eastAsia" w:eastAsia="宋体"/>
                <w:sz w:val="21"/>
                <w:szCs w:val="21"/>
                <w:lang w:val="en-US" w:eastAsia="zh-CN"/>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0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rPr>
                <w:rFonts w:hint="eastAsia"/>
                <w:sz w:val="21"/>
                <w:szCs w:val="21"/>
              </w:rPr>
            </w:pPr>
            <w:r>
              <w:rPr>
                <w:rFonts w:hint="eastAsia"/>
                <w:sz w:val="21"/>
                <w:szCs w:val="21"/>
                <w:lang w:val="en-US" w:eastAsia="zh-CN"/>
              </w:rPr>
              <w:t>总计（大写）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0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
              <w:keepNext w:val="0"/>
              <w:keepLines w:val="0"/>
              <w:widowControl/>
              <w:suppressLineNumbers w:val="0"/>
              <w:bidi w:val="0"/>
              <w:spacing w:before="0" w:beforeAutospacing="0" w:after="0" w:afterAutospacing="0"/>
              <w:ind w:left="0" w:right="0"/>
              <w:rPr>
                <w:rFonts w:hint="eastAsia"/>
                <w:sz w:val="21"/>
                <w:szCs w:val="21"/>
              </w:rPr>
            </w:pPr>
            <w:r>
              <w:rPr>
                <w:rFonts w:hint="eastAsia"/>
                <w:sz w:val="21"/>
                <w:szCs w:val="21"/>
                <w:lang w:val="en-US" w:eastAsia="zh-CN"/>
              </w:rPr>
              <w:t>总计（小写）</w:t>
            </w:r>
          </w:p>
        </w:tc>
      </w:tr>
    </w:tbl>
    <w:p>
      <w:pPr>
        <w:spacing w:line="360" w:lineRule="auto"/>
        <w:ind w:firstLine="843" w:firstLineChars="400"/>
        <w:rPr>
          <w:rFonts w:hint="eastAsia" w:ascii="宋体" w:hAnsi="宋体" w:eastAsia="宋体" w:cs="Times New Roman"/>
          <w:b/>
          <w:highlight w:val="none"/>
        </w:rPr>
      </w:pPr>
    </w:p>
    <w:p>
      <w:pPr>
        <w:spacing w:line="360" w:lineRule="auto"/>
        <w:ind w:firstLine="843" w:firstLineChars="400"/>
        <w:rPr>
          <w:rFonts w:hint="eastAsia" w:ascii="宋体" w:hAnsi="宋体" w:eastAsia="宋体" w:cs="Times New Roman"/>
          <w:b/>
          <w:highlight w:val="none"/>
          <w:lang w:val="en-US" w:eastAsia="zh-CN"/>
        </w:rPr>
      </w:pPr>
      <w:r>
        <w:rPr>
          <w:rFonts w:hint="eastAsia" w:ascii="宋体" w:hAnsi="宋体" w:eastAsia="宋体" w:cs="Times New Roman"/>
          <w:b/>
          <w:highlight w:val="none"/>
        </w:rPr>
        <w:t>注：</w:t>
      </w:r>
      <w:r>
        <w:rPr>
          <w:rFonts w:hint="eastAsia" w:ascii="宋体" w:hAnsi="宋体" w:eastAsia="宋体" w:cs="Times New Roman"/>
          <w:b/>
          <w:highlight w:val="none"/>
          <w:lang w:val="en-US" w:eastAsia="zh-CN"/>
        </w:rPr>
        <w:t>1、</w:t>
      </w:r>
      <w:r>
        <w:rPr>
          <w:rFonts w:hint="eastAsia" w:ascii="宋体" w:hAnsi="宋体" w:eastAsia="宋体" w:cs="Times New Roman"/>
          <w:b/>
          <w:highlight w:val="none"/>
        </w:rPr>
        <w:t>以上报价</w:t>
      </w:r>
      <w:r>
        <w:rPr>
          <w:rFonts w:hint="eastAsia" w:ascii="宋体" w:hAnsi="宋体" w:eastAsia="宋体" w:cs="Times New Roman"/>
          <w:b/>
          <w:highlight w:val="none"/>
          <w:lang w:val="en-US" w:eastAsia="zh-CN"/>
        </w:rPr>
        <w:t>均为含税价。</w:t>
      </w:r>
    </w:p>
    <w:p>
      <w:pPr>
        <w:numPr>
          <w:ilvl w:val="0"/>
          <w:numId w:val="0"/>
        </w:numPr>
        <w:spacing w:line="360" w:lineRule="auto"/>
        <w:ind w:firstLine="811" w:firstLineChars="400"/>
        <w:rPr>
          <w:rFonts w:ascii="宋体" w:hAnsi="宋体" w:eastAsia="宋体" w:cs="宋体"/>
          <w:b/>
          <w:bCs/>
          <w:spacing w:val="-9"/>
          <w:sz w:val="22"/>
          <w:szCs w:val="22"/>
          <w:highlight w:val="none"/>
        </w:rPr>
      </w:pPr>
      <w:r>
        <w:rPr>
          <w:rFonts w:hint="eastAsia" w:ascii="宋体" w:hAnsi="宋体" w:eastAsia="宋体" w:cs="宋体"/>
          <w:b/>
          <w:bCs/>
          <w:spacing w:val="-9"/>
          <w:sz w:val="22"/>
          <w:szCs w:val="22"/>
          <w:highlight w:val="none"/>
          <w:lang w:val="en-US" w:eastAsia="zh-CN"/>
        </w:rPr>
        <w:t>2、</w:t>
      </w:r>
      <w:r>
        <w:rPr>
          <w:rFonts w:ascii="宋体" w:hAnsi="宋体" w:eastAsia="宋体" w:cs="宋体"/>
          <w:b/>
          <w:bCs/>
          <w:spacing w:val="-9"/>
          <w:sz w:val="22"/>
          <w:szCs w:val="22"/>
          <w:highlight w:val="none"/>
        </w:rPr>
        <w:t>表格不足可续填，不可缺项。</w:t>
      </w:r>
    </w:p>
    <w:p>
      <w:pPr>
        <w:spacing w:line="360" w:lineRule="auto"/>
        <w:ind w:firstLine="843" w:firstLineChars="400"/>
        <w:rPr>
          <w:rFonts w:hint="eastAsia" w:ascii="宋体" w:hAnsi="宋体" w:eastAsia="宋体" w:cs="Times New Roman"/>
          <w:b/>
          <w:highlight w:val="none"/>
          <w:lang w:val="en-US" w:eastAsia="zh-CN"/>
        </w:rPr>
      </w:pPr>
      <w:r>
        <w:rPr>
          <w:rFonts w:hint="eastAsia" w:ascii="宋体" w:hAnsi="宋体" w:eastAsia="宋体" w:cs="Times New Roman"/>
          <w:b/>
          <w:highlight w:val="none"/>
          <w:lang w:val="en-US" w:eastAsia="zh-CN"/>
        </w:rPr>
        <w:t>3、投标人未提供二次报价表的，以初次报价为最终报价。</w:t>
      </w:r>
    </w:p>
    <w:p>
      <w:pPr>
        <w:spacing w:line="360" w:lineRule="auto"/>
        <w:ind w:firstLine="843" w:firstLineChars="400"/>
        <w:rPr>
          <w:rFonts w:hint="eastAsia" w:ascii="宋体" w:hAnsi="宋体" w:eastAsia="宋体" w:cs="Times New Roman"/>
          <w:b/>
          <w:highlight w:val="none"/>
          <w:lang w:val="en-US" w:eastAsia="zh-CN"/>
        </w:rPr>
      </w:pPr>
    </w:p>
    <w:p>
      <w:pPr>
        <w:rPr>
          <w:rFonts w:hint="eastAsia" w:ascii="宋体" w:hAnsi="宋体" w:eastAsia="宋体" w:cs="宋体"/>
          <w:color w:val="auto"/>
          <w:sz w:val="21"/>
          <w:szCs w:val="21"/>
          <w:highlight w:val="none"/>
        </w:rPr>
      </w:pPr>
      <w:r>
        <w:rPr>
          <w:rFonts w:hint="eastAsia" w:ascii="宋体" w:hAnsi="宋体" w:eastAsia="宋体" w:cs="宋体"/>
          <w:b/>
          <w:bCs/>
          <w:sz w:val="24"/>
          <w:szCs w:val="24"/>
          <w:highlight w:val="none"/>
          <w:lang w:val="en-US" w:eastAsia="zh-CN"/>
        </w:rPr>
        <w:t>说明：</w:t>
      </w:r>
      <w:r>
        <w:rPr>
          <w:rFonts w:hint="eastAsia" w:ascii="宋体" w:hAnsi="宋体" w:eastAsia="宋体" w:cs="宋体"/>
          <w:b/>
          <w:bCs/>
          <w:sz w:val="24"/>
          <w:szCs w:val="24"/>
          <w:highlight w:val="none"/>
        </w:rPr>
        <w:t>本表不装订在</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内，</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可准备好空白表格(3-5份)并盖好</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lang w:val="en-US" w:eastAsia="zh-CN"/>
        </w:rPr>
        <w:t>公章</w:t>
      </w:r>
      <w:r>
        <w:rPr>
          <w:rFonts w:hint="eastAsia" w:ascii="宋体" w:hAnsi="宋体" w:eastAsia="宋体" w:cs="宋体"/>
          <w:b/>
          <w:bCs/>
          <w:sz w:val="24"/>
          <w:szCs w:val="24"/>
          <w:highlight w:val="none"/>
        </w:rPr>
        <w:t>，待二次报价时按规定时间填好数据提交</w:t>
      </w:r>
      <w:r>
        <w:rPr>
          <w:rFonts w:hint="eastAsia" w:ascii="宋体" w:hAnsi="宋体" w:eastAsia="宋体" w:cs="宋体"/>
          <w:b/>
          <w:bCs/>
          <w:sz w:val="24"/>
          <w:szCs w:val="24"/>
          <w:highlight w:val="none"/>
          <w:lang w:val="en-US" w:eastAsia="zh-CN"/>
        </w:rPr>
        <w:t>磋商</w:t>
      </w:r>
      <w:r>
        <w:rPr>
          <w:rFonts w:hint="eastAsia" w:ascii="宋体" w:hAnsi="宋体" w:eastAsia="宋体" w:cs="宋体"/>
          <w:b/>
          <w:bCs/>
          <w:sz w:val="24"/>
          <w:szCs w:val="24"/>
          <w:highlight w:val="none"/>
        </w:rPr>
        <w:t>小组。投标报价包含完成采购项目的所有费用。签订合同时，以本表中的投标报价为准，并作为合同的一部分。</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供应商（全称）</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盖公章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w:t>
      </w:r>
      <w:r>
        <w:rPr>
          <w:rFonts w:hint="eastAsia" w:ascii="宋体" w:hAnsi="宋体" w:eastAsia="宋体" w:cs="宋体"/>
          <w:b/>
          <w:bCs/>
          <w:color w:val="auto"/>
          <w:sz w:val="21"/>
          <w:szCs w:val="21"/>
          <w:highlight w:val="none"/>
          <w:lang w:eastAsia="zh-CN"/>
        </w:rPr>
        <w:t>定</w:t>
      </w:r>
      <w:r>
        <w:rPr>
          <w:rFonts w:hint="eastAsia" w:ascii="宋体" w:hAnsi="宋体" w:eastAsia="宋体" w:cs="宋体"/>
          <w:b/>
          <w:bCs/>
          <w:color w:val="auto"/>
          <w:sz w:val="21"/>
          <w:szCs w:val="21"/>
          <w:highlight w:val="none"/>
        </w:rPr>
        <w:t>代表人或授权代理人：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（签字</w:t>
      </w:r>
      <w:r>
        <w:rPr>
          <w:rFonts w:hint="eastAsia" w:ascii="宋体" w:hAnsi="宋体" w:eastAsia="宋体" w:cs="宋体"/>
          <w:b/>
          <w:bCs/>
          <w:color w:val="auto"/>
          <w:sz w:val="21"/>
          <w:szCs w:val="21"/>
          <w:highlight w:val="none"/>
          <w:lang w:val="en-US" w:eastAsia="zh-CN"/>
        </w:rPr>
        <w:t>或盖章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1"/>
          <w:szCs w:val="21"/>
          <w:highlight w:val="none"/>
        </w:rPr>
        <w:t>日期：        年      月      日</w:t>
      </w: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附件2：</w:t>
      </w:r>
    </w:p>
    <w:p>
      <w:pPr>
        <w:pStyle w:val="61"/>
        <w:keepNext/>
        <w:keepLines/>
        <w:pageBreakBefore w:val="0"/>
        <w:widowControl w:val="0"/>
        <w:shd w:val="clear" w:color="auto" w:fill="auto"/>
        <w:kinsoku/>
        <w:wordWrap/>
        <w:overflowPunct/>
        <w:topLinePunct w:val="0"/>
        <w:autoSpaceDE/>
        <w:autoSpaceDN/>
        <w:bidi w:val="0"/>
        <w:adjustRightInd/>
        <w:snapToGrid/>
        <w:spacing w:before="0" w:after="0" w:line="360" w:lineRule="auto"/>
        <w:ind w:right="0" w:firstLine="482" w:firstLineChars="200"/>
        <w:jc w:val="center"/>
        <w:textAlignment w:val="auto"/>
        <w:rPr>
          <w:rFonts w:hint="eastAsia" w:ascii="宋体" w:hAnsi="宋体" w:eastAsia="宋体" w:cs="宋体"/>
          <w:sz w:val="24"/>
          <w:szCs w:val="24"/>
          <w:highlight w:val="none"/>
        </w:rPr>
      </w:pPr>
      <w:bookmarkStart w:id="53" w:name="bookmark51"/>
      <w:bookmarkStart w:id="54" w:name="bookmark53"/>
      <w:bookmarkStart w:id="55" w:name="bookmark52"/>
      <w:r>
        <w:rPr>
          <w:rFonts w:hint="eastAsia" w:ascii="宋体" w:hAnsi="宋体" w:eastAsia="宋体" w:cs="宋体"/>
          <w:b/>
          <w:bCs/>
          <w:color w:val="000000"/>
          <w:spacing w:val="0"/>
          <w:w w:val="100"/>
          <w:position w:val="0"/>
          <w:sz w:val="24"/>
          <w:szCs w:val="24"/>
          <w:highlight w:val="none"/>
        </w:rPr>
        <w:t>中小企业声明函（</w:t>
      </w:r>
      <w:r>
        <w:rPr>
          <w:rFonts w:hint="eastAsia" w:cs="宋体"/>
          <w:b/>
          <w:bCs/>
          <w:color w:val="000000"/>
          <w:spacing w:val="0"/>
          <w:w w:val="100"/>
          <w:position w:val="0"/>
          <w:sz w:val="24"/>
          <w:szCs w:val="24"/>
          <w:highlight w:val="none"/>
          <w:lang w:val="en-US" w:eastAsia="zh-CN"/>
        </w:rPr>
        <w:t>货物</w:t>
      </w:r>
      <w:r>
        <w:rPr>
          <w:rFonts w:hint="eastAsia" w:ascii="宋体" w:hAnsi="宋体" w:eastAsia="宋体" w:cs="宋体"/>
          <w:b/>
          <w:bCs/>
          <w:color w:val="000000"/>
          <w:spacing w:val="0"/>
          <w:w w:val="100"/>
          <w:position w:val="0"/>
          <w:sz w:val="24"/>
          <w:szCs w:val="24"/>
          <w:highlight w:val="none"/>
        </w:rPr>
        <w:t>）</w:t>
      </w:r>
      <w:bookmarkEnd w:id="53"/>
      <w:bookmarkEnd w:id="54"/>
      <w:bookmarkEnd w:id="55"/>
    </w:p>
    <w:p>
      <w:pPr>
        <w:pStyle w:val="62"/>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000000"/>
          <w:spacing w:val="0"/>
          <w:w w:val="100"/>
          <w:position w:val="0"/>
          <w:sz w:val="24"/>
          <w:szCs w:val="24"/>
          <w:highlight w:val="none"/>
          <w:u w:val="single"/>
          <w:lang w:eastAsia="zh-CN"/>
        </w:rPr>
        <w:t>（</w:t>
      </w:r>
      <w:r>
        <w:rPr>
          <w:rFonts w:hint="eastAsia" w:ascii="宋体" w:hAnsi="宋体" w:eastAsia="宋体" w:cs="宋体"/>
          <w:color w:val="000000"/>
          <w:spacing w:val="0"/>
          <w:w w:val="100"/>
          <w:position w:val="0"/>
          <w:sz w:val="24"/>
          <w:szCs w:val="24"/>
          <w:highlight w:val="none"/>
          <w:u w:val="single"/>
          <w:lang w:val="en-US" w:eastAsia="zh-CN"/>
        </w:rPr>
        <w:t>单位</w:t>
      </w:r>
      <w:r>
        <w:rPr>
          <w:rFonts w:hint="eastAsia" w:ascii="宋体" w:hAnsi="宋体" w:eastAsia="宋体" w:cs="宋体"/>
          <w:color w:val="000000"/>
          <w:spacing w:val="0"/>
          <w:w w:val="100"/>
          <w:position w:val="0"/>
          <w:sz w:val="24"/>
          <w:szCs w:val="24"/>
          <w:highlight w:val="none"/>
          <w:u w:val="single"/>
        </w:rPr>
        <w:t>名称）</w:t>
      </w:r>
      <w:r>
        <w:rPr>
          <w:rFonts w:hint="eastAsia" w:ascii="宋体" w:hAnsi="宋体" w:eastAsia="宋体" w:cs="宋体"/>
          <w:color w:val="000000"/>
          <w:spacing w:val="0"/>
          <w:w w:val="100"/>
          <w:position w:val="0"/>
          <w:sz w:val="24"/>
          <w:szCs w:val="24"/>
          <w:highlight w:val="none"/>
        </w:rPr>
        <w:t>的</w:t>
      </w:r>
      <w:r>
        <w:rPr>
          <w:rFonts w:hint="eastAsia" w:ascii="宋体" w:hAnsi="宋体" w:eastAsia="宋体" w:cs="宋体"/>
          <w:color w:val="000000"/>
          <w:spacing w:val="0"/>
          <w:w w:val="100"/>
          <w:position w:val="0"/>
          <w:sz w:val="24"/>
          <w:szCs w:val="24"/>
          <w:highlight w:val="none"/>
          <w:u w:val="single"/>
        </w:rPr>
        <w:t>（项目名称）</w:t>
      </w:r>
      <w:r>
        <w:rPr>
          <w:rFonts w:hint="eastAsia" w:ascii="宋体" w:hAnsi="宋体" w:eastAsia="宋体" w:cs="宋体"/>
          <w:color w:val="000000"/>
          <w:spacing w:val="0"/>
          <w:w w:val="100"/>
          <w:position w:val="0"/>
          <w:sz w:val="24"/>
          <w:szCs w:val="24"/>
          <w:highlight w:val="none"/>
        </w:rPr>
        <w:t>采购活动，工程的施工单位全部为符合政策要 求的中小企业（或者：服务全部由符合政策要求的中小企业承接）。相关企业（含联合体中的中小企业、签订分包意向协议的中小企业）的具体情况如下：</w:t>
      </w:r>
    </w:p>
    <w:p>
      <w:pPr>
        <w:pStyle w:val="62"/>
        <w:keepNext w:val="0"/>
        <w:keepLines w:val="0"/>
        <w:pageBreakBefore w:val="0"/>
        <w:widowControl w:val="0"/>
        <w:numPr>
          <w:ilvl w:val="0"/>
          <w:numId w:val="0"/>
        </w:numPr>
        <w:shd w:val="clear" w:color="auto" w:fill="auto"/>
        <w:tabs>
          <w:tab w:val="left" w:pos="1016"/>
          <w:tab w:val="left" w:pos="2443"/>
          <w:tab w:val="left" w:pos="4934"/>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highlight w:val="none"/>
        </w:rPr>
      </w:pPr>
      <w:bookmarkStart w:id="56" w:name="bookmark54"/>
      <w:bookmarkEnd w:id="56"/>
      <w:r>
        <w:rPr>
          <w:rFonts w:hint="eastAsia" w:ascii="宋体" w:hAnsi="宋体" w:eastAsia="宋体" w:cs="宋体"/>
          <w:color w:val="000000"/>
          <w:spacing w:val="0"/>
          <w:w w:val="100"/>
          <w:position w:val="0"/>
          <w:sz w:val="24"/>
          <w:szCs w:val="24"/>
          <w:highlight w:val="none"/>
          <w:u w:val="none"/>
          <w:lang w:val="en-US" w:eastAsia="zh-CN"/>
        </w:rPr>
        <w:t>1.</w:t>
      </w:r>
      <w:r>
        <w:rPr>
          <w:rFonts w:hint="eastAsia" w:ascii="宋体" w:hAnsi="宋体" w:eastAsia="宋体" w:cs="宋体"/>
          <w:color w:val="000000"/>
          <w:spacing w:val="0"/>
          <w:w w:val="100"/>
          <w:position w:val="0"/>
          <w:sz w:val="24"/>
          <w:szCs w:val="24"/>
          <w:highlight w:val="none"/>
          <w:u w:val="single"/>
        </w:rPr>
        <w:t>（标的名称）</w:t>
      </w:r>
      <w:r>
        <w:rPr>
          <w:rFonts w:hint="eastAsia" w:ascii="宋体" w:hAnsi="宋体" w:eastAsia="宋体" w:cs="宋体"/>
          <w:i/>
          <w:iCs/>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rPr>
        <w:t>属于</w:t>
      </w:r>
      <w:r>
        <w:rPr>
          <w:rFonts w:hint="eastAsia" w:ascii="宋体" w:hAnsi="宋体" w:eastAsia="宋体" w:cs="宋体"/>
          <w:color w:val="000000"/>
          <w:spacing w:val="0"/>
          <w:w w:val="100"/>
          <w:position w:val="0"/>
          <w:sz w:val="24"/>
          <w:szCs w:val="24"/>
          <w:highlight w:val="none"/>
          <w:u w:val="single"/>
        </w:rPr>
        <w:t>（采购文件中明确的所属行业）</w:t>
      </w:r>
      <w:r>
        <w:rPr>
          <w:rFonts w:hint="eastAsia" w:ascii="宋体" w:hAnsi="宋体" w:eastAsia="宋体" w:cs="宋体"/>
          <w:color w:val="000000"/>
          <w:spacing w:val="0"/>
          <w:w w:val="100"/>
          <w:position w:val="0"/>
          <w:sz w:val="24"/>
          <w:szCs w:val="24"/>
          <w:highlight w:val="none"/>
        </w:rPr>
        <w:t>;承建（承接）企业为</w:t>
      </w:r>
      <w:r>
        <w:rPr>
          <w:rFonts w:hint="eastAsia" w:ascii="宋体" w:hAnsi="宋体" w:eastAsia="宋体" w:cs="宋体"/>
          <w:color w:val="000000"/>
          <w:spacing w:val="0"/>
          <w:w w:val="100"/>
          <w:position w:val="0"/>
          <w:sz w:val="24"/>
          <w:szCs w:val="24"/>
          <w:highlight w:val="none"/>
          <w:u w:val="single"/>
        </w:rPr>
        <w:t>（企业名称）</w:t>
      </w:r>
      <w:r>
        <w:rPr>
          <w:rFonts w:hint="eastAsia" w:ascii="宋体" w:hAnsi="宋体" w:eastAsia="宋体" w:cs="宋体"/>
          <w:color w:val="000000"/>
          <w:spacing w:val="0"/>
          <w:w w:val="100"/>
          <w:position w:val="0"/>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 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w:t>
      </w:r>
      <w:r>
        <w:rPr>
          <w:rFonts w:hint="eastAsia" w:ascii="宋体" w:hAnsi="宋体" w:eastAsia="宋体" w:cs="宋体"/>
          <w:color w:val="000000"/>
          <w:spacing w:val="0"/>
          <w:w w:val="100"/>
          <w:position w:val="0"/>
          <w:sz w:val="24"/>
          <w:szCs w:val="24"/>
          <w:highlight w:val="none"/>
          <w:vertAlign w:val="superscript"/>
        </w:rPr>
        <w:t>①</w:t>
      </w:r>
      <w:r>
        <w:rPr>
          <w:rFonts w:hint="eastAsia" w:ascii="宋体" w:hAnsi="宋体" w:eastAsia="宋体" w:cs="宋体"/>
          <w:color w:val="000000"/>
          <w:spacing w:val="0"/>
          <w:w w:val="100"/>
          <w:position w:val="0"/>
          <w:sz w:val="24"/>
          <w:szCs w:val="24"/>
          <w:highlight w:val="none"/>
        </w:rPr>
        <w:t>，属于</w:t>
      </w:r>
      <w:r>
        <w:rPr>
          <w:rFonts w:hint="eastAsia" w:ascii="宋体" w:hAnsi="宋体" w:eastAsia="宋体" w:cs="宋体"/>
          <w:color w:val="000000"/>
          <w:spacing w:val="0"/>
          <w:w w:val="100"/>
          <w:position w:val="0"/>
          <w:sz w:val="24"/>
          <w:szCs w:val="24"/>
          <w:highlight w:val="none"/>
          <w:u w:val="single"/>
        </w:rPr>
        <w:t>（中型企业、小型企业、微型企业）</w:t>
      </w:r>
      <w:r>
        <w:rPr>
          <w:rFonts w:hint="eastAsia" w:ascii="宋体" w:hAnsi="宋体" w:eastAsia="宋体" w:cs="宋体"/>
          <w:color w:val="000000"/>
          <w:spacing w:val="0"/>
          <w:w w:val="100"/>
          <w:position w:val="0"/>
          <w:sz w:val="24"/>
          <w:szCs w:val="24"/>
          <w:highlight w:val="none"/>
        </w:rPr>
        <w:t>；</w:t>
      </w:r>
    </w:p>
    <w:p>
      <w:pPr>
        <w:pStyle w:val="62"/>
        <w:keepNext w:val="0"/>
        <w:keepLines w:val="0"/>
        <w:pageBreakBefore w:val="0"/>
        <w:widowControl w:val="0"/>
        <w:numPr>
          <w:ilvl w:val="0"/>
          <w:numId w:val="0"/>
        </w:numPr>
        <w:shd w:val="clear" w:color="auto" w:fill="auto"/>
        <w:tabs>
          <w:tab w:val="left" w:pos="1011"/>
          <w:tab w:val="left" w:pos="2443"/>
          <w:tab w:val="left" w:pos="4939"/>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highlight w:val="none"/>
        </w:rPr>
      </w:pPr>
      <w:bookmarkStart w:id="57" w:name="bookmark55"/>
      <w:bookmarkEnd w:id="57"/>
      <w:r>
        <w:rPr>
          <w:rFonts w:hint="eastAsia" w:ascii="宋体" w:hAnsi="宋体" w:eastAsia="宋体" w:cs="宋体"/>
          <w:color w:val="000000"/>
          <w:spacing w:val="0"/>
          <w:w w:val="100"/>
          <w:position w:val="0"/>
          <w:sz w:val="24"/>
          <w:szCs w:val="24"/>
          <w:highlight w:val="none"/>
          <w:u w:val="none"/>
          <w:lang w:val="en-US" w:eastAsia="zh-CN"/>
        </w:rPr>
        <w:t>2.</w:t>
      </w:r>
      <w:r>
        <w:rPr>
          <w:rFonts w:hint="eastAsia" w:ascii="宋体" w:hAnsi="宋体" w:eastAsia="宋体" w:cs="宋体"/>
          <w:color w:val="000000"/>
          <w:spacing w:val="0"/>
          <w:w w:val="100"/>
          <w:position w:val="0"/>
          <w:sz w:val="24"/>
          <w:szCs w:val="24"/>
          <w:highlight w:val="none"/>
          <w:u w:val="single"/>
        </w:rPr>
        <w:t>（标的名称）</w:t>
      </w:r>
      <w:r>
        <w:rPr>
          <w:rFonts w:hint="eastAsia" w:ascii="宋体" w:hAnsi="宋体" w:eastAsia="宋体" w:cs="宋体"/>
          <w:color w:val="000000"/>
          <w:spacing w:val="0"/>
          <w:w w:val="100"/>
          <w:position w:val="0"/>
          <w:sz w:val="24"/>
          <w:szCs w:val="24"/>
          <w:highlight w:val="none"/>
        </w:rPr>
        <w:t>，属于</w:t>
      </w:r>
      <w:r>
        <w:rPr>
          <w:rFonts w:hint="eastAsia" w:ascii="宋体" w:hAnsi="宋体" w:eastAsia="宋体" w:cs="宋体"/>
          <w:color w:val="000000"/>
          <w:spacing w:val="0"/>
          <w:w w:val="100"/>
          <w:position w:val="0"/>
          <w:sz w:val="24"/>
          <w:szCs w:val="24"/>
          <w:highlight w:val="none"/>
          <w:u w:val="single"/>
        </w:rPr>
        <w:t>（采购文件中明确的所属行业）</w:t>
      </w:r>
      <w:r>
        <w:rPr>
          <w:rFonts w:hint="eastAsia" w:ascii="宋体" w:hAnsi="宋体" w:eastAsia="宋体" w:cs="宋体"/>
          <w:color w:val="000000"/>
          <w:spacing w:val="0"/>
          <w:w w:val="100"/>
          <w:position w:val="0"/>
          <w:sz w:val="24"/>
          <w:szCs w:val="24"/>
          <w:highlight w:val="none"/>
        </w:rPr>
        <w:t>；承建（承接）企业为</w:t>
      </w:r>
      <w:r>
        <w:rPr>
          <w:rFonts w:hint="eastAsia" w:ascii="宋体" w:hAnsi="宋体" w:eastAsia="宋体" w:cs="宋体"/>
          <w:color w:val="000000"/>
          <w:spacing w:val="0"/>
          <w:w w:val="100"/>
          <w:position w:val="0"/>
          <w:sz w:val="24"/>
          <w:szCs w:val="24"/>
          <w:highlight w:val="none"/>
          <w:u w:val="single"/>
        </w:rPr>
        <w:t>（企业名称）</w:t>
      </w:r>
      <w:r>
        <w:rPr>
          <w:rFonts w:hint="eastAsia" w:ascii="宋体" w:hAnsi="宋体" w:eastAsia="宋体" w:cs="宋体"/>
          <w:color w:val="000000"/>
          <w:spacing w:val="0"/>
          <w:w w:val="100"/>
          <w:position w:val="0"/>
          <w:sz w:val="24"/>
          <w:szCs w:val="24"/>
          <w:highlight w:val="none"/>
        </w:rPr>
        <w:t>，从业人员</w:t>
      </w:r>
      <w:r>
        <w:rPr>
          <w:rFonts w:hint="eastAsia" w:ascii="宋体" w:hAnsi="宋体" w:eastAsia="宋体" w:cs="宋体"/>
          <w:color w:val="000000"/>
          <w:spacing w:val="0"/>
          <w:w w:val="100"/>
          <w:position w:val="0"/>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lang w:val="en-US" w:eastAsia="zh-CN"/>
        </w:rPr>
        <w:t>人</w:t>
      </w:r>
      <w:r>
        <w:rPr>
          <w:rFonts w:hint="eastAsia" w:ascii="宋体" w:hAnsi="宋体" w:eastAsia="宋体" w:cs="宋体"/>
          <w:color w:val="000000"/>
          <w:spacing w:val="0"/>
          <w:w w:val="100"/>
          <w:position w:val="0"/>
          <w:sz w:val="24"/>
          <w:szCs w:val="24"/>
          <w:highlight w:val="none"/>
        </w:rPr>
        <w:t>，营业收入为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 资产总额</w:t>
      </w:r>
      <w:r>
        <w:rPr>
          <w:rFonts w:hint="eastAsia" w:ascii="宋体" w:hAnsi="宋体" w:eastAsia="宋体" w:cs="宋体"/>
          <w:i/>
          <w:iCs/>
          <w:color w:val="000000"/>
          <w:spacing w:val="0"/>
          <w:w w:val="100"/>
          <w:position w:val="0"/>
          <w:sz w:val="24"/>
          <w:szCs w:val="24"/>
          <w:highlight w:val="none"/>
        </w:rPr>
        <w:t>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万元，属于</w:t>
      </w:r>
      <w:r>
        <w:rPr>
          <w:rFonts w:hint="eastAsia" w:ascii="宋体" w:hAnsi="宋体" w:eastAsia="宋体" w:cs="宋体"/>
          <w:color w:val="000000"/>
          <w:spacing w:val="0"/>
          <w:w w:val="100"/>
          <w:position w:val="0"/>
          <w:sz w:val="24"/>
          <w:szCs w:val="24"/>
          <w:highlight w:val="none"/>
          <w:u w:val="single"/>
        </w:rPr>
        <w:t>（中型企业、小型企业、微型企业）</w:t>
      </w:r>
      <w:r>
        <w:rPr>
          <w:rFonts w:hint="eastAsia" w:ascii="宋体" w:hAnsi="宋体" w:eastAsia="宋体" w:cs="宋体"/>
          <w:color w:val="000000"/>
          <w:spacing w:val="0"/>
          <w:w w:val="100"/>
          <w:position w:val="0"/>
          <w:sz w:val="24"/>
          <w:szCs w:val="24"/>
          <w:highlight w:val="none"/>
        </w:rPr>
        <w:t>;</w:t>
      </w:r>
    </w:p>
    <w:p>
      <w:pPr>
        <w:pStyle w:val="63"/>
        <w:keepNext w:val="0"/>
        <w:keepLines w:val="0"/>
        <w:pageBreakBefore w:val="0"/>
        <w:widowControl w:val="0"/>
        <w:shd w:val="clear" w:color="auto" w:fill="auto"/>
        <w:tabs>
          <w:tab w:val="left" w:leader="dot" w:pos="-1048"/>
        </w:tabs>
        <w:kinsoku/>
        <w:wordWrap/>
        <w:overflowPunct/>
        <w:topLinePunct w:val="0"/>
        <w:autoSpaceDE/>
        <w:autoSpaceDN/>
        <w:bidi w:val="0"/>
        <w:adjustRightInd/>
        <w:snapToGrid/>
        <w:spacing w:before="0" w:line="360" w:lineRule="auto"/>
        <w:ind w:right="0" w:firstLine="480" w:firstLineChars="200"/>
        <w:jc w:val="left"/>
        <w:textAlignment w:val="auto"/>
        <w:rPr>
          <w:rFonts w:hint="eastAsia" w:ascii="宋体" w:hAnsi="宋体" w:eastAsia="宋体" w:cs="宋体"/>
          <w:sz w:val="24"/>
          <w:szCs w:val="24"/>
          <w:highlight w:val="none"/>
        </w:rPr>
      </w:pPr>
    </w:p>
    <w:p>
      <w:pPr>
        <w:pStyle w:val="62"/>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以上企业，不属于大企业的分支机构，不存在控股股东为大企 业的情形，也不存在与大企业的负责人为同一人的情形。</w:t>
      </w:r>
    </w:p>
    <w:p>
      <w:pPr>
        <w:pStyle w:val="62"/>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本企业对上述声明内容的真实性负责。如有虚假，将依法承 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pacing w:val="0"/>
          <w:w w:val="100"/>
          <w:position w:val="0"/>
          <w:sz w:val="24"/>
          <w:szCs w:val="24"/>
          <w:highlight w:val="none"/>
        </w:rPr>
      </w:pPr>
      <w:r>
        <w:rPr>
          <w:rFonts w:hint="eastAsia" w:ascii="宋体" w:hAnsi="宋体" w:eastAsia="宋体" w:cs="宋体"/>
          <w:color w:val="000000"/>
          <w:spacing w:val="0"/>
          <w:w w:val="100"/>
          <w:position w:val="0"/>
          <w:sz w:val="24"/>
          <w:szCs w:val="24"/>
          <w:highlight w:val="none"/>
        </w:rPr>
        <w:t>企业名称（盖章）：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  期：</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从业人员、营业收入、资产总额填报上一年度数据。无上一年度数据的新成立企业可不填报。</w:t>
      </w:r>
    </w:p>
    <w:p>
      <w:pPr>
        <w:rPr>
          <w:color w:val="auto"/>
          <w:highlight w:val="none"/>
        </w:rPr>
      </w:pPr>
    </w:p>
    <w:p>
      <w:pPr>
        <w:pStyle w:val="37"/>
        <w:rPr>
          <w:color w:val="auto"/>
          <w:highlight w:val="none"/>
        </w:rPr>
      </w:pPr>
    </w:p>
    <w:p>
      <w:pPr>
        <w:rPr>
          <w:color w:val="auto"/>
          <w:highlight w:val="none"/>
        </w:rPr>
      </w:pPr>
    </w:p>
    <w:p>
      <w:pPr>
        <w:pStyle w:val="37"/>
        <w:rPr>
          <w:color w:val="auto"/>
          <w:highlight w:val="none"/>
        </w:rPr>
      </w:pPr>
    </w:p>
    <w:p>
      <w:pPr>
        <w:pStyle w:val="37"/>
        <w:ind w:left="0" w:leftChars="0" w:firstLine="0" w:firstLineChars="0"/>
        <w:rPr>
          <w:rFonts w:hint="default" w:eastAsia="宋体"/>
          <w:color w:val="auto"/>
          <w:highlight w:val="none"/>
          <w:lang w:val="en-US" w:eastAsia="zh-CN"/>
        </w:rPr>
      </w:pPr>
    </w:p>
    <w:p>
      <w:pPr>
        <w:rPr>
          <w:rFonts w:hint="default"/>
          <w:b/>
          <w:bCs/>
          <w:color w:val="auto"/>
          <w:sz w:val="24"/>
          <w:szCs w:val="22"/>
          <w:highlight w:val="none"/>
          <w:lang w:val="en-US" w:eastAsia="zh-CN"/>
        </w:rPr>
      </w:pPr>
      <w:r>
        <w:rPr>
          <w:rFonts w:hint="eastAsia" w:eastAsia="宋体"/>
          <w:b/>
          <w:bCs/>
          <w:color w:val="auto"/>
          <w:sz w:val="24"/>
          <w:szCs w:val="22"/>
          <w:highlight w:val="none"/>
          <w:lang w:val="en-US" w:eastAsia="zh-CN"/>
        </w:rPr>
        <w:br w:type="page"/>
      </w:r>
      <w:r>
        <w:rPr>
          <w:rFonts w:hint="eastAsia" w:eastAsia="宋体"/>
          <w:b/>
          <w:bCs/>
          <w:color w:val="auto"/>
          <w:sz w:val="24"/>
          <w:szCs w:val="22"/>
          <w:highlight w:val="none"/>
          <w:lang w:val="en-US" w:eastAsia="zh-CN"/>
        </w:rPr>
        <w:t>附件3：</w:t>
      </w:r>
    </w:p>
    <w:p>
      <w:pPr>
        <w:adjustRightInd w:val="0"/>
        <w:snapToGrid w:val="0"/>
        <w:spacing w:line="360" w:lineRule="exact"/>
        <w:ind w:right="28" w:firstLine="527"/>
        <w:jc w:val="center"/>
        <w:rPr>
          <w:rFonts w:hint="eastAsia" w:ascii="宋体" w:hAnsi="宋体" w:cs="宋体"/>
          <w:b/>
          <w:bCs/>
          <w:color w:val="auto"/>
          <w:spacing w:val="8"/>
          <w:sz w:val="24"/>
          <w:szCs w:val="24"/>
          <w:highlight w:val="none"/>
        </w:rPr>
      </w:pPr>
      <w:r>
        <w:rPr>
          <w:rFonts w:hint="eastAsia" w:ascii="宋体" w:hAnsi="宋体" w:cs="宋体"/>
          <w:b/>
          <w:bCs/>
          <w:color w:val="auto"/>
          <w:spacing w:val="8"/>
          <w:sz w:val="24"/>
          <w:szCs w:val="24"/>
          <w:highlight w:val="none"/>
        </w:rPr>
        <w:t>残疾人福利性单位声明函</w:t>
      </w:r>
    </w:p>
    <w:p>
      <w:pPr>
        <w:pStyle w:val="37"/>
        <w:rPr>
          <w:color w:val="auto"/>
          <w:highlight w:val="none"/>
        </w:rPr>
      </w:pPr>
    </w:p>
    <w:p>
      <w:pPr>
        <w:adjustRightInd w:val="0"/>
        <w:snapToGrid w:val="0"/>
        <w:spacing w:line="360" w:lineRule="auto"/>
        <w:ind w:right="28" w:firstLine="527"/>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cs="宋体"/>
          <w:color w:val="auto"/>
          <w:spacing w:val="8"/>
          <w:sz w:val="24"/>
          <w:szCs w:val="24"/>
          <w:highlight w:val="none"/>
        </w:rPr>
        <w:t>单位的</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cs="宋体"/>
          <w:color w:val="auto"/>
          <w:spacing w:val="8"/>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37"/>
        <w:rPr>
          <w:color w:val="auto"/>
          <w:highlight w:val="none"/>
        </w:rPr>
      </w:pPr>
    </w:p>
    <w:p>
      <w:pPr>
        <w:adjustRightInd w:val="0"/>
        <w:snapToGrid w:val="0"/>
        <w:spacing w:line="360" w:lineRule="auto"/>
        <w:ind w:right="28" w:firstLine="527"/>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本单位对上述声明的真实性负责。如有虚假，将依法承担相应责任。</w:t>
      </w:r>
    </w:p>
    <w:p>
      <w:pPr>
        <w:adjustRightInd w:val="0"/>
        <w:snapToGrid w:val="0"/>
        <w:spacing w:line="360" w:lineRule="auto"/>
        <w:ind w:right="28" w:firstLine="527"/>
        <w:rPr>
          <w:rFonts w:ascii="宋体" w:hAnsi="宋体" w:cs="宋体"/>
          <w:color w:val="auto"/>
          <w:spacing w:val="8"/>
          <w:sz w:val="24"/>
          <w:szCs w:val="24"/>
          <w:highlight w:val="none"/>
        </w:rPr>
      </w:pPr>
    </w:p>
    <w:p>
      <w:pPr>
        <w:pStyle w:val="37"/>
        <w:rPr>
          <w:rFonts w:ascii="宋体" w:hAnsi="宋体" w:cs="宋体"/>
          <w:color w:val="auto"/>
          <w:spacing w:val="8"/>
          <w:sz w:val="24"/>
          <w:szCs w:val="24"/>
          <w:highlight w:val="none"/>
        </w:rPr>
      </w:pPr>
    </w:p>
    <w:p>
      <w:pPr>
        <w:rPr>
          <w:color w:val="auto"/>
          <w:highlight w:val="none"/>
        </w:rPr>
      </w:pPr>
    </w:p>
    <w:p>
      <w:pPr>
        <w:adjustRightInd w:val="0"/>
        <w:snapToGrid w:val="0"/>
        <w:spacing w:line="360" w:lineRule="auto"/>
        <w:ind w:right="28" w:firstLine="527"/>
        <w:jc w:val="cente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lang w:eastAsia="zh-CN"/>
        </w:rPr>
        <w:t>供应商</w:t>
      </w:r>
      <w:r>
        <w:rPr>
          <w:rFonts w:hint="eastAsia" w:ascii="宋体" w:hAnsi="宋体" w:cs="宋体"/>
          <w:color w:val="auto"/>
          <w:spacing w:val="8"/>
          <w:sz w:val="24"/>
          <w:szCs w:val="24"/>
          <w:highlight w:val="none"/>
        </w:rPr>
        <w:t>名称（</w:t>
      </w:r>
      <w:r>
        <w:rPr>
          <w:rFonts w:hint="eastAsia" w:ascii="宋体" w:hAnsi="宋体" w:eastAsia="宋体" w:cs="宋体"/>
          <w:color w:val="auto"/>
          <w:sz w:val="24"/>
          <w:szCs w:val="24"/>
          <w:highlight w:val="none"/>
          <w:lang w:eastAsia="zh-CN"/>
        </w:rPr>
        <w:t>盖</w:t>
      </w:r>
      <w:r>
        <w:rPr>
          <w:rFonts w:hint="eastAsia" w:ascii="宋体" w:hAnsi="宋体" w:cs="宋体"/>
          <w:color w:val="auto"/>
          <w:spacing w:val="8"/>
          <w:sz w:val="24"/>
          <w:szCs w:val="24"/>
          <w:highlight w:val="none"/>
        </w:rPr>
        <w:t>章）：</w:t>
      </w:r>
    </w:p>
    <w:p>
      <w:pPr>
        <w:pStyle w:val="37"/>
        <w:rPr>
          <w:rFonts w:hint="eastAsia" w:ascii="宋体" w:hAnsi="宋体" w:cs="宋体"/>
          <w:color w:val="auto"/>
          <w:spacing w:val="8"/>
          <w:sz w:val="24"/>
          <w:szCs w:val="24"/>
          <w:highlight w:val="none"/>
        </w:rPr>
      </w:pPr>
    </w:p>
    <w:p>
      <w:pPr>
        <w:rPr>
          <w:color w:val="auto"/>
          <w:highlight w:val="none"/>
        </w:rPr>
      </w:pPr>
    </w:p>
    <w:p>
      <w:pPr>
        <w:pStyle w:val="37"/>
        <w:spacing w:line="360" w:lineRule="auto"/>
        <w:ind w:left="0" w:leftChars="0" w:firstLine="4352" w:firstLineChars="1700"/>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日期：   年  月  日</w:t>
      </w: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color w:val="auto"/>
          <w:highlight w:val="none"/>
        </w:rPr>
      </w:pPr>
    </w:p>
    <w:p>
      <w:pPr>
        <w:rPr>
          <w:rFonts w:hint="eastAsia" w:ascii="宋体" w:hAnsi="宋体" w:cs="宋体"/>
          <w:color w:val="auto"/>
          <w:spacing w:val="8"/>
          <w:sz w:val="24"/>
          <w:szCs w:val="24"/>
          <w:highlight w:val="none"/>
        </w:rPr>
      </w:pPr>
    </w:p>
    <w:p>
      <w:pPr>
        <w:pStyle w:val="37"/>
        <w:rPr>
          <w:rFonts w:hint="eastAsia"/>
          <w:color w:val="auto"/>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pStyle w:val="37"/>
        <w:ind w:left="0" w:leftChars="0" w:firstLine="0" w:firstLineChars="0"/>
        <w:rPr>
          <w:rFonts w:hint="default" w:ascii="宋体" w:hAnsi="宋体" w:eastAsia="宋体" w:cs="宋体"/>
          <w:b/>
          <w:bCs/>
          <w:color w:val="auto"/>
          <w:spacing w:val="8"/>
          <w:sz w:val="24"/>
          <w:szCs w:val="24"/>
          <w:highlight w:val="none"/>
          <w:lang w:val="en-US" w:eastAsia="zh-CN"/>
        </w:rPr>
      </w:pPr>
      <w:r>
        <w:rPr>
          <w:rFonts w:hint="eastAsia" w:eastAsia="宋体" w:cs="宋体"/>
          <w:b/>
          <w:bCs/>
          <w:color w:val="auto"/>
          <w:spacing w:val="8"/>
          <w:sz w:val="24"/>
          <w:szCs w:val="24"/>
          <w:highlight w:val="none"/>
          <w:lang w:eastAsia="zh-CN"/>
        </w:rPr>
        <w:t>附件</w:t>
      </w:r>
      <w:r>
        <w:rPr>
          <w:rFonts w:hint="eastAsia" w:eastAsia="宋体" w:cs="宋体"/>
          <w:b/>
          <w:bCs/>
          <w:color w:val="auto"/>
          <w:spacing w:val="8"/>
          <w:sz w:val="24"/>
          <w:szCs w:val="24"/>
          <w:highlight w:val="none"/>
          <w:lang w:val="en-US" w:eastAsia="zh-CN"/>
        </w:rPr>
        <w:t>4：</w:t>
      </w:r>
    </w:p>
    <w:p>
      <w:pPr>
        <w:jc w:val="center"/>
        <w:rPr>
          <w:rFonts w:hint="eastAsia" w:ascii="宋体" w:hAnsi="宋体" w:cs="宋体"/>
          <w:color w:val="auto"/>
          <w:spacing w:val="8"/>
          <w:sz w:val="24"/>
          <w:szCs w:val="24"/>
          <w:highlight w:val="none"/>
        </w:rPr>
      </w:pPr>
      <w:r>
        <w:rPr>
          <w:rFonts w:hint="eastAsia" w:ascii="宋体" w:hAnsi="宋体" w:cs="宋体"/>
          <w:b/>
          <w:bCs/>
          <w:color w:val="auto"/>
          <w:spacing w:val="8"/>
          <w:sz w:val="24"/>
          <w:szCs w:val="24"/>
          <w:highlight w:val="none"/>
        </w:rPr>
        <w:t>监狱企业证明文件</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ascii="宋体" w:hAnsi="宋体" w:cs="宋体"/>
          <w:color w:val="auto"/>
          <w:spacing w:val="8"/>
          <w:sz w:val="24"/>
          <w:szCs w:val="24"/>
          <w:highlight w:val="none"/>
        </w:rPr>
      </w:pPr>
    </w:p>
    <w:p>
      <w:pPr>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pStyle w:val="37"/>
        <w:ind w:left="0" w:leftChars="0" w:firstLine="0" w:firstLineChars="0"/>
        <w:rPr>
          <w:rFonts w:hint="eastAsia" w:ascii="宋体" w:hAnsi="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供应商</w:t>
      </w:r>
      <w:r>
        <w:rPr>
          <w:rFonts w:hint="eastAsia" w:ascii="宋体" w:hAnsi="宋体" w:cs="宋体"/>
          <w:color w:val="auto"/>
          <w:spacing w:val="8"/>
          <w:sz w:val="24"/>
          <w:szCs w:val="24"/>
          <w:highlight w:val="none"/>
        </w:rPr>
        <w:t>名称（</w:t>
      </w:r>
      <w:r>
        <w:rPr>
          <w:rFonts w:hint="eastAsia" w:ascii="宋体" w:hAnsi="宋体" w:eastAsia="宋体" w:cs="宋体"/>
          <w:color w:val="auto"/>
          <w:sz w:val="24"/>
          <w:szCs w:val="24"/>
          <w:highlight w:val="none"/>
          <w:lang w:eastAsia="zh-CN"/>
        </w:rPr>
        <w:t>盖</w:t>
      </w:r>
      <w:r>
        <w:rPr>
          <w:rFonts w:hint="eastAsia" w:ascii="宋体" w:hAnsi="宋体" w:cs="宋体"/>
          <w:color w:val="auto"/>
          <w:spacing w:val="8"/>
          <w:sz w:val="24"/>
          <w:szCs w:val="24"/>
          <w:highlight w:val="none"/>
        </w:rPr>
        <w:t>章）：</w:t>
      </w:r>
    </w:p>
    <w:p>
      <w:pPr>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法定代表人或委托代理人： （签字或盖章）</w:t>
      </w:r>
    </w:p>
    <w:p>
      <w:pPr>
        <w:pStyle w:val="37"/>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年 月 日</w:t>
      </w:r>
    </w:p>
    <w:p>
      <w:pPr>
        <w:pStyle w:val="37"/>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7"/>
        <w:rPr>
          <w:rFonts w:hint="eastAsia"/>
          <w:color w:val="auto"/>
          <w:highlight w:val="none"/>
        </w:rPr>
      </w:pPr>
    </w:p>
    <w:p>
      <w:pPr>
        <w:rPr>
          <w:rFonts w:ascii="宋体" w:hAnsi="宋体" w:eastAsia="宋体" w:cs="宋体"/>
          <w:color w:val="auto"/>
          <w:sz w:val="24"/>
          <w:szCs w:val="24"/>
          <w:highlight w:val="none"/>
        </w:rPr>
      </w:pPr>
      <w:r>
        <w:rPr>
          <w:rFonts w:hint="eastAsia" w:ascii="宋体" w:hAnsi="宋体" w:cs="宋体"/>
          <w:color w:val="auto"/>
          <w:spacing w:val="8"/>
          <w:sz w:val="24"/>
          <w:szCs w:val="24"/>
          <w:highlight w:val="none"/>
        </w:rPr>
        <w:t>说明：若是监狱企业则需提供上述省级以上监狱管理局、戒毒管理局（含新疆生产建设兵团）出具的属于监狱企业的证明文件，若不是则不需要提供。</w:t>
      </w:r>
    </w:p>
    <w:p>
      <w:pPr>
        <w:pStyle w:val="37"/>
        <w:ind w:left="0" w:leftChars="0" w:firstLine="0" w:firstLineChars="0"/>
        <w:jc w:val="center"/>
        <w:rPr>
          <w:rFonts w:eastAsia="宋体" w:cs="宋体"/>
          <w:b/>
          <w:color w:val="auto"/>
          <w:sz w:val="24"/>
          <w:szCs w:val="24"/>
          <w:highlight w:val="none"/>
        </w:rPr>
      </w:pPr>
      <w:r>
        <w:rPr>
          <w:rFonts w:ascii="宋体" w:hAnsi="宋体" w:eastAsia="宋体" w:cs="宋体"/>
          <w:color w:val="auto"/>
          <w:sz w:val="24"/>
          <w:szCs w:val="24"/>
          <w:highlight w:val="none"/>
        </w:rPr>
        <w:br w:type="page"/>
      </w:r>
      <w:r>
        <w:rPr>
          <w:rFonts w:hint="eastAsia" w:ascii="宋体" w:hAnsi="宋体" w:eastAsia="宋体" w:cs="宋体"/>
          <w:b/>
          <w:bCs w:val="0"/>
          <w:color w:val="auto"/>
          <w:sz w:val="32"/>
          <w:szCs w:val="32"/>
          <w:highlight w:val="none"/>
          <w:lang w:val="en-US" w:eastAsia="zh-CN"/>
        </w:rPr>
        <w:t>第六章  补遗书及答疑纪要（待发）</w:t>
      </w:r>
      <w:bookmarkEnd w:id="52"/>
    </w:p>
    <w:p>
      <w:pPr>
        <w:spacing w:line="440" w:lineRule="exact"/>
        <w:rPr>
          <w:rFonts w:ascii="宋体" w:hAnsi="宋体" w:eastAsia="宋体" w:cs="宋体"/>
          <w:b/>
          <w:bCs/>
          <w:color w:val="auto"/>
          <w:sz w:val="24"/>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pStyle w:val="37"/>
        <w:spacing w:line="400" w:lineRule="exact"/>
        <w:ind w:firstLine="0" w:firstLineChars="0"/>
        <w:jc w:val="left"/>
        <w:rPr>
          <w:rFonts w:eastAsia="宋体" w:cs="宋体"/>
          <w:b/>
          <w:color w:val="auto"/>
          <w:szCs w:val="24"/>
          <w:highlight w:val="none"/>
        </w:rPr>
      </w:pPr>
    </w:p>
    <w:p>
      <w:pPr>
        <w:rPr>
          <w:rFonts w:eastAsia="宋体" w:cs="宋体"/>
          <w:b/>
          <w:color w:val="auto"/>
          <w:sz w:val="24"/>
          <w:szCs w:val="24"/>
          <w:highlight w:val="none"/>
        </w:rPr>
      </w:pPr>
    </w:p>
    <w:sectPr>
      <w:footerReference r:id="rId6" w:type="default"/>
      <w:pgSz w:w="11906" w:h="16838"/>
      <w:pgMar w:top="1040" w:right="1286" w:bottom="1098" w:left="13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体">
    <w:altName w:val="宋体"/>
    <w:panose1 w:val="00000000000000000000"/>
    <w:charset w:val="86"/>
    <w:family w:val="auto"/>
    <w:pitch w:val="default"/>
    <w:sig w:usb0="00000000" w:usb1="00000000" w:usb2="00000010" w:usb3="00000000" w:csb0="00040000" w:csb1="00000000"/>
  </w:font>
  <w:font w:name="PMingLiU">
    <w:altName w:val="PMingLiU-ExtB"/>
    <w:panose1 w:val="02020300000000000000"/>
    <w:charset w:val="88"/>
    <w:family w:val="auto"/>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right="360"/>
      <w:jc w:val="both"/>
      <w:rPr>
        <w:rFonts w:hint="eastAsia"/>
        <w:iCs/>
        <w:highlight w:val="yellow"/>
        <w:lang w:val="en-US" w:eastAsia="zh-CN"/>
      </w:rPr>
    </w:pPr>
    <w:r>
      <w:rPr>
        <w:rFonts w:hint="eastAsia"/>
        <w:iCs/>
      </w:rPr>
      <w:t xml:space="preserve"> </w:t>
    </w:r>
  </w:p>
  <w:p>
    <w:pPr>
      <w:pStyle w:val="16"/>
      <w:pBdr>
        <w:bottom w:val="none" w:color="auto" w:sz="0" w:space="1"/>
      </w:pBd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38110"/>
    <w:multiLevelType w:val="singleLevel"/>
    <w:tmpl w:val="99438110"/>
    <w:lvl w:ilvl="0" w:tentative="0">
      <w:start w:val="3"/>
      <w:numFmt w:val="chineseCounting"/>
      <w:suff w:val="nothing"/>
      <w:lvlText w:val="%1、"/>
      <w:lvlJc w:val="left"/>
      <w:rPr>
        <w:rFonts w:hint="eastAsia"/>
      </w:rPr>
    </w:lvl>
  </w:abstractNum>
  <w:abstractNum w:abstractNumId="1">
    <w:nsid w:val="B5DEFC82"/>
    <w:multiLevelType w:val="singleLevel"/>
    <w:tmpl w:val="B5DEFC82"/>
    <w:lvl w:ilvl="0" w:tentative="0">
      <w:start w:val="1"/>
      <w:numFmt w:val="decimal"/>
      <w:suff w:val="nothing"/>
      <w:lvlText w:val="%1、"/>
      <w:lvlJc w:val="left"/>
    </w:lvl>
  </w:abstractNum>
  <w:abstractNum w:abstractNumId="2">
    <w:nsid w:val="F4A430DC"/>
    <w:multiLevelType w:val="singleLevel"/>
    <w:tmpl w:val="F4A430DC"/>
    <w:lvl w:ilvl="0" w:tentative="0">
      <w:start w:val="6"/>
      <w:numFmt w:val="chineseCounting"/>
      <w:suff w:val="nothing"/>
      <w:lvlText w:val="%1、"/>
      <w:lvlJc w:val="left"/>
      <w:rPr>
        <w:rFonts w:hint="eastAsia"/>
      </w:rPr>
    </w:lvl>
  </w:abstractNum>
  <w:abstractNum w:abstractNumId="3">
    <w:nsid w:val="00000000"/>
    <w:multiLevelType w:val="multilevel"/>
    <w:tmpl w:val="00000000"/>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B"/>
    <w:multiLevelType w:val="singleLevel"/>
    <w:tmpl w:val="0000000B"/>
    <w:lvl w:ilvl="0" w:tentative="0">
      <w:start w:val="1"/>
      <w:numFmt w:val="chineseCounting"/>
      <w:suff w:val="space"/>
      <w:lvlText w:val="第%1章"/>
      <w:lvlJc w:val="left"/>
      <w:pPr>
        <w:ind w:left="2331" w:firstLine="0"/>
      </w:pPr>
      <w:rPr>
        <w:rFonts w:hint="eastAsia"/>
      </w:rPr>
    </w:lvl>
  </w:abstractNum>
  <w:abstractNum w:abstractNumId="5">
    <w:nsid w:val="7B16DB62"/>
    <w:multiLevelType w:val="singleLevel"/>
    <w:tmpl w:val="7B16DB62"/>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ZDE5NWMwZjRjYTNmMmUzNmJmZmFkOTI0NjNhN2IifQ=="/>
  </w:docVars>
  <w:rsids>
    <w:rsidRoot w:val="00000000"/>
    <w:rsid w:val="00326792"/>
    <w:rsid w:val="003C0C0F"/>
    <w:rsid w:val="017A4A37"/>
    <w:rsid w:val="01CD344B"/>
    <w:rsid w:val="01E948A9"/>
    <w:rsid w:val="023D1C29"/>
    <w:rsid w:val="026C4FD1"/>
    <w:rsid w:val="027C3466"/>
    <w:rsid w:val="0360013E"/>
    <w:rsid w:val="03F13330"/>
    <w:rsid w:val="03F25123"/>
    <w:rsid w:val="04446DB8"/>
    <w:rsid w:val="04ED41A7"/>
    <w:rsid w:val="0532605E"/>
    <w:rsid w:val="056B0C21"/>
    <w:rsid w:val="06941428"/>
    <w:rsid w:val="06B93462"/>
    <w:rsid w:val="07651EC6"/>
    <w:rsid w:val="077C2461"/>
    <w:rsid w:val="07BB6072"/>
    <w:rsid w:val="07DC193F"/>
    <w:rsid w:val="07F95559"/>
    <w:rsid w:val="087D1CE6"/>
    <w:rsid w:val="09115215"/>
    <w:rsid w:val="0A3D472E"/>
    <w:rsid w:val="0AD27DEA"/>
    <w:rsid w:val="0B1D276A"/>
    <w:rsid w:val="0B2A3732"/>
    <w:rsid w:val="0B605D65"/>
    <w:rsid w:val="0B615218"/>
    <w:rsid w:val="0BC042E1"/>
    <w:rsid w:val="0BC35C62"/>
    <w:rsid w:val="0CEE6B82"/>
    <w:rsid w:val="0CFF221F"/>
    <w:rsid w:val="0DAB65E2"/>
    <w:rsid w:val="0E2F3A82"/>
    <w:rsid w:val="0E4866AA"/>
    <w:rsid w:val="0F006472"/>
    <w:rsid w:val="0F651605"/>
    <w:rsid w:val="0FBA5F39"/>
    <w:rsid w:val="10F1115B"/>
    <w:rsid w:val="11D86E4C"/>
    <w:rsid w:val="120B6465"/>
    <w:rsid w:val="121E0096"/>
    <w:rsid w:val="125A4E46"/>
    <w:rsid w:val="13932C2D"/>
    <w:rsid w:val="13FD21A1"/>
    <w:rsid w:val="1429657E"/>
    <w:rsid w:val="14517FE7"/>
    <w:rsid w:val="14555176"/>
    <w:rsid w:val="14682881"/>
    <w:rsid w:val="148A43CC"/>
    <w:rsid w:val="14F0527E"/>
    <w:rsid w:val="15376EC6"/>
    <w:rsid w:val="16A8571B"/>
    <w:rsid w:val="16B4431C"/>
    <w:rsid w:val="16D74CB7"/>
    <w:rsid w:val="16E70179"/>
    <w:rsid w:val="17413264"/>
    <w:rsid w:val="17AA301A"/>
    <w:rsid w:val="17AE1A29"/>
    <w:rsid w:val="180C5D06"/>
    <w:rsid w:val="182F367F"/>
    <w:rsid w:val="18356139"/>
    <w:rsid w:val="18775ED5"/>
    <w:rsid w:val="18D23988"/>
    <w:rsid w:val="18E94CC2"/>
    <w:rsid w:val="198540F4"/>
    <w:rsid w:val="1A4F2853"/>
    <w:rsid w:val="1AEC3AEE"/>
    <w:rsid w:val="1B0167A6"/>
    <w:rsid w:val="1C6C7C03"/>
    <w:rsid w:val="1C6D08DF"/>
    <w:rsid w:val="1C931384"/>
    <w:rsid w:val="1CA53D47"/>
    <w:rsid w:val="1CB735C0"/>
    <w:rsid w:val="1CE03F71"/>
    <w:rsid w:val="1D0B258B"/>
    <w:rsid w:val="1DDB48C8"/>
    <w:rsid w:val="1DE65560"/>
    <w:rsid w:val="1E042876"/>
    <w:rsid w:val="1E135E59"/>
    <w:rsid w:val="1EDF0AB3"/>
    <w:rsid w:val="1F54506E"/>
    <w:rsid w:val="1FE83BF2"/>
    <w:rsid w:val="202D5AE9"/>
    <w:rsid w:val="20601AC0"/>
    <w:rsid w:val="212B2914"/>
    <w:rsid w:val="217A696B"/>
    <w:rsid w:val="22581693"/>
    <w:rsid w:val="225D0766"/>
    <w:rsid w:val="22627BFA"/>
    <w:rsid w:val="22797D3C"/>
    <w:rsid w:val="22AE7314"/>
    <w:rsid w:val="23196297"/>
    <w:rsid w:val="23294AEC"/>
    <w:rsid w:val="233136AA"/>
    <w:rsid w:val="235C6C70"/>
    <w:rsid w:val="236C2300"/>
    <w:rsid w:val="240B75A8"/>
    <w:rsid w:val="248111AD"/>
    <w:rsid w:val="24DA2ACA"/>
    <w:rsid w:val="24F76BB2"/>
    <w:rsid w:val="257F2CAE"/>
    <w:rsid w:val="260D5FFF"/>
    <w:rsid w:val="266074E8"/>
    <w:rsid w:val="266D03DE"/>
    <w:rsid w:val="26F619FF"/>
    <w:rsid w:val="2701289D"/>
    <w:rsid w:val="27452723"/>
    <w:rsid w:val="27CB6C84"/>
    <w:rsid w:val="28551EE0"/>
    <w:rsid w:val="291962A4"/>
    <w:rsid w:val="29B572F3"/>
    <w:rsid w:val="29CC2775"/>
    <w:rsid w:val="2A1F27A5"/>
    <w:rsid w:val="2AE33D87"/>
    <w:rsid w:val="2B1B2F6C"/>
    <w:rsid w:val="2B2F6A18"/>
    <w:rsid w:val="2C0F6B5F"/>
    <w:rsid w:val="2C355CA9"/>
    <w:rsid w:val="2C3A4F2A"/>
    <w:rsid w:val="2C6721E1"/>
    <w:rsid w:val="2C8E5F99"/>
    <w:rsid w:val="2C947B55"/>
    <w:rsid w:val="2CF747D6"/>
    <w:rsid w:val="2D4E0DAF"/>
    <w:rsid w:val="2E367E6E"/>
    <w:rsid w:val="2E56052E"/>
    <w:rsid w:val="2E6B483B"/>
    <w:rsid w:val="2F7F46F6"/>
    <w:rsid w:val="30260CBC"/>
    <w:rsid w:val="30983C2F"/>
    <w:rsid w:val="3138414C"/>
    <w:rsid w:val="317516CC"/>
    <w:rsid w:val="317E0299"/>
    <w:rsid w:val="31805B7F"/>
    <w:rsid w:val="31A12A84"/>
    <w:rsid w:val="32870003"/>
    <w:rsid w:val="33720DF8"/>
    <w:rsid w:val="33967BBB"/>
    <w:rsid w:val="3400017C"/>
    <w:rsid w:val="34823647"/>
    <w:rsid w:val="359159D2"/>
    <w:rsid w:val="35967197"/>
    <w:rsid w:val="35F920FC"/>
    <w:rsid w:val="36AB4024"/>
    <w:rsid w:val="36F34D9D"/>
    <w:rsid w:val="3715170B"/>
    <w:rsid w:val="375C659B"/>
    <w:rsid w:val="37985457"/>
    <w:rsid w:val="37C44253"/>
    <w:rsid w:val="380A05F1"/>
    <w:rsid w:val="381A3936"/>
    <w:rsid w:val="387D5D44"/>
    <w:rsid w:val="38BC5693"/>
    <w:rsid w:val="3AC953C2"/>
    <w:rsid w:val="3B70073D"/>
    <w:rsid w:val="3B7346FF"/>
    <w:rsid w:val="3B7C35D0"/>
    <w:rsid w:val="3BD14B48"/>
    <w:rsid w:val="3C2857F8"/>
    <w:rsid w:val="3CAB7728"/>
    <w:rsid w:val="3CB90837"/>
    <w:rsid w:val="3CB96420"/>
    <w:rsid w:val="3D256A71"/>
    <w:rsid w:val="3F0B4D2F"/>
    <w:rsid w:val="3F446ED3"/>
    <w:rsid w:val="3FBA180C"/>
    <w:rsid w:val="3FBE0E56"/>
    <w:rsid w:val="40270827"/>
    <w:rsid w:val="40CC3328"/>
    <w:rsid w:val="414C7824"/>
    <w:rsid w:val="415F7A57"/>
    <w:rsid w:val="425F3226"/>
    <w:rsid w:val="4269060A"/>
    <w:rsid w:val="426C1EA8"/>
    <w:rsid w:val="43D2785E"/>
    <w:rsid w:val="43D32DEF"/>
    <w:rsid w:val="43E3315F"/>
    <w:rsid w:val="44051FDC"/>
    <w:rsid w:val="44685B2D"/>
    <w:rsid w:val="44DB279F"/>
    <w:rsid w:val="452D3B70"/>
    <w:rsid w:val="45CA7B86"/>
    <w:rsid w:val="460074D7"/>
    <w:rsid w:val="467C30F8"/>
    <w:rsid w:val="46A94799"/>
    <w:rsid w:val="474358CD"/>
    <w:rsid w:val="47440E8D"/>
    <w:rsid w:val="47E03F69"/>
    <w:rsid w:val="484E277B"/>
    <w:rsid w:val="48512863"/>
    <w:rsid w:val="486C49B0"/>
    <w:rsid w:val="48B378A8"/>
    <w:rsid w:val="48C30301"/>
    <w:rsid w:val="495B132C"/>
    <w:rsid w:val="4A1F1AC6"/>
    <w:rsid w:val="4A322BCD"/>
    <w:rsid w:val="4AC94F52"/>
    <w:rsid w:val="4B667DDC"/>
    <w:rsid w:val="4BBE1283"/>
    <w:rsid w:val="4C1A52C1"/>
    <w:rsid w:val="4C20752B"/>
    <w:rsid w:val="4D574DC8"/>
    <w:rsid w:val="4DA120EF"/>
    <w:rsid w:val="4DBD3714"/>
    <w:rsid w:val="4EE61CDA"/>
    <w:rsid w:val="4F763B90"/>
    <w:rsid w:val="4FEC63D6"/>
    <w:rsid w:val="50947199"/>
    <w:rsid w:val="5123075E"/>
    <w:rsid w:val="518B557A"/>
    <w:rsid w:val="51B11685"/>
    <w:rsid w:val="525020DA"/>
    <w:rsid w:val="52F257DF"/>
    <w:rsid w:val="53536E98"/>
    <w:rsid w:val="54754356"/>
    <w:rsid w:val="54D51B2F"/>
    <w:rsid w:val="54D77655"/>
    <w:rsid w:val="54D849E7"/>
    <w:rsid w:val="55315B2F"/>
    <w:rsid w:val="55DA38A0"/>
    <w:rsid w:val="55DF2A92"/>
    <w:rsid w:val="56515DC5"/>
    <w:rsid w:val="56F21A9E"/>
    <w:rsid w:val="57B10631"/>
    <w:rsid w:val="57B74DEC"/>
    <w:rsid w:val="57D6236E"/>
    <w:rsid w:val="59BD569A"/>
    <w:rsid w:val="5AB82AFE"/>
    <w:rsid w:val="5AD85ED5"/>
    <w:rsid w:val="5B4D241F"/>
    <w:rsid w:val="5B915253"/>
    <w:rsid w:val="5C621EFA"/>
    <w:rsid w:val="5C985434"/>
    <w:rsid w:val="5D411B20"/>
    <w:rsid w:val="5E0C5870"/>
    <w:rsid w:val="5E26547A"/>
    <w:rsid w:val="5E4E2CEE"/>
    <w:rsid w:val="5F56677A"/>
    <w:rsid w:val="5F5952B1"/>
    <w:rsid w:val="604638E0"/>
    <w:rsid w:val="604E62D6"/>
    <w:rsid w:val="605D1356"/>
    <w:rsid w:val="60803296"/>
    <w:rsid w:val="60B718BC"/>
    <w:rsid w:val="60C5514D"/>
    <w:rsid w:val="611B4D6D"/>
    <w:rsid w:val="6170330B"/>
    <w:rsid w:val="623A2748"/>
    <w:rsid w:val="62832BCA"/>
    <w:rsid w:val="63CA503C"/>
    <w:rsid w:val="648A46E4"/>
    <w:rsid w:val="649966D5"/>
    <w:rsid w:val="649E3CEB"/>
    <w:rsid w:val="64DE77A6"/>
    <w:rsid w:val="64F61D79"/>
    <w:rsid w:val="6524176C"/>
    <w:rsid w:val="657D6037"/>
    <w:rsid w:val="66203B76"/>
    <w:rsid w:val="66DE7364"/>
    <w:rsid w:val="67161120"/>
    <w:rsid w:val="6744501E"/>
    <w:rsid w:val="68D83351"/>
    <w:rsid w:val="69AE2CD1"/>
    <w:rsid w:val="6A6634FD"/>
    <w:rsid w:val="6B2872ED"/>
    <w:rsid w:val="6BA66BCA"/>
    <w:rsid w:val="6D750E4E"/>
    <w:rsid w:val="6DD62748"/>
    <w:rsid w:val="6DE24C48"/>
    <w:rsid w:val="6DF56417"/>
    <w:rsid w:val="6EB505AF"/>
    <w:rsid w:val="6EC95E08"/>
    <w:rsid w:val="6FA37EFD"/>
    <w:rsid w:val="6FCD258A"/>
    <w:rsid w:val="70503DFA"/>
    <w:rsid w:val="705861FF"/>
    <w:rsid w:val="71D80C38"/>
    <w:rsid w:val="72821A18"/>
    <w:rsid w:val="728C50F0"/>
    <w:rsid w:val="72EC6569"/>
    <w:rsid w:val="738B5D82"/>
    <w:rsid w:val="73FE5C0F"/>
    <w:rsid w:val="740D49E9"/>
    <w:rsid w:val="753B0164"/>
    <w:rsid w:val="76A71125"/>
    <w:rsid w:val="77253DF8"/>
    <w:rsid w:val="77A549BF"/>
    <w:rsid w:val="78AC7EB5"/>
    <w:rsid w:val="78DA631E"/>
    <w:rsid w:val="79457859"/>
    <w:rsid w:val="79B107FB"/>
    <w:rsid w:val="79CA2CA8"/>
    <w:rsid w:val="7A0D74F1"/>
    <w:rsid w:val="7A265616"/>
    <w:rsid w:val="7A4A1626"/>
    <w:rsid w:val="7A7217A2"/>
    <w:rsid w:val="7AAC01F4"/>
    <w:rsid w:val="7ABE4F98"/>
    <w:rsid w:val="7AC85324"/>
    <w:rsid w:val="7AF70A43"/>
    <w:rsid w:val="7B4C1BE3"/>
    <w:rsid w:val="7B4C229B"/>
    <w:rsid w:val="7B6469FE"/>
    <w:rsid w:val="7BC27B8E"/>
    <w:rsid w:val="7CB54320"/>
    <w:rsid w:val="7F315A30"/>
    <w:rsid w:val="7F3D5377"/>
    <w:rsid w:val="7F56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lang w:val="en-US" w:eastAsia="zh-CN" w:bidi="ar-SA"/>
    </w:rPr>
  </w:style>
  <w:style w:type="paragraph" w:styleId="2">
    <w:name w:val="heading 1"/>
    <w:basedOn w:val="1"/>
    <w:next w:val="1"/>
    <w:qFormat/>
    <w:uiPriority w:val="0"/>
    <w:pPr>
      <w:keepNext/>
      <w:keepLines/>
      <w:jc w:val="center"/>
      <w:outlineLvl w:val="0"/>
    </w:pPr>
    <w:rPr>
      <w:rFonts w:eastAsia="宋体"/>
      <w:b/>
      <w:kern w:val="44"/>
      <w:sz w:val="30"/>
    </w:rPr>
  </w:style>
  <w:style w:type="paragraph" w:styleId="3">
    <w:name w:val="heading 2"/>
    <w:basedOn w:val="1"/>
    <w:next w:val="1"/>
    <w:qFormat/>
    <w:uiPriority w:val="0"/>
    <w:pPr>
      <w:keepNext/>
      <w:keepLines/>
      <w:jc w:val="center"/>
      <w:outlineLvl w:val="1"/>
    </w:pPr>
    <w:rPr>
      <w:rFonts w:ascii="Arial" w:hAnsi="Arial" w:eastAsia="黑体"/>
      <w:sz w:val="32"/>
      <w:szCs w:val="20"/>
    </w:rPr>
  </w:style>
  <w:style w:type="paragraph" w:styleId="4">
    <w:name w:val="heading 3"/>
    <w:basedOn w:val="1"/>
    <w:next w:val="1"/>
    <w:qFormat/>
    <w:uiPriority w:val="0"/>
    <w:pPr>
      <w:keepNext/>
      <w:keepLines/>
      <w:jc w:val="center"/>
      <w:outlineLvl w:val="2"/>
    </w:pPr>
    <w:rPr>
      <w:rFonts w:eastAsia="黑体"/>
      <w:sz w:val="30"/>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qFormat/>
    <w:uiPriority w:val="0"/>
    <w:pPr>
      <w:keepNext/>
      <w:keepLines/>
      <w:spacing w:before="240" w:after="64" w:line="320" w:lineRule="auto"/>
      <w:outlineLvl w:val="5"/>
    </w:pPr>
    <w:rPr>
      <w:rFonts w:ascii="Calibri Light" w:hAnsi="Calibri Light" w:eastAsia="宋体"/>
      <w:b/>
      <w:bCs/>
      <w:sz w:val="24"/>
      <w:szCs w:val="24"/>
    </w:rPr>
  </w:style>
  <w:style w:type="character" w:default="1" w:styleId="22">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next w:val="8"/>
    <w:qFormat/>
    <w:uiPriority w:val="0"/>
    <w:pPr>
      <w:ind w:firstLine="420" w:firstLineChars="200"/>
    </w:pPr>
    <w:rPr>
      <w:szCs w:val="24"/>
    </w:rPr>
  </w:style>
  <w:style w:type="paragraph" w:customStyle="1" w:styleId="8">
    <w:name w:val="样式3"/>
    <w:basedOn w:val="9"/>
    <w:next w:val="1"/>
    <w:qFormat/>
    <w:uiPriority w:val="99"/>
    <w:pPr>
      <w:tabs>
        <w:tab w:val="left" w:pos="720"/>
      </w:tabs>
    </w:pPr>
    <w:rPr>
      <w:rFonts w:ascii="楷体_GB2312" w:hAnsi="新宋体" w:eastAsia="楷体_GB2312"/>
      <w:szCs w:val="20"/>
    </w:rPr>
  </w:style>
  <w:style w:type="paragraph" w:styleId="9">
    <w:name w:val="List Paragraph"/>
    <w:basedOn w:val="1"/>
    <w:next w:val="1"/>
    <w:qFormat/>
    <w:uiPriority w:val="34"/>
    <w:pPr>
      <w:widowControl/>
      <w:ind w:firstLine="420" w:firstLineChars="200"/>
      <w:jc w:val="left"/>
    </w:pPr>
    <w:rPr>
      <w:kern w:val="0"/>
      <w:sz w:val="20"/>
    </w:rPr>
  </w:style>
  <w:style w:type="paragraph" w:styleId="10">
    <w:name w:val="toa heading"/>
    <w:basedOn w:val="1"/>
    <w:next w:val="1"/>
    <w:unhideWhenUsed/>
    <w:qFormat/>
    <w:uiPriority w:val="99"/>
    <w:pPr>
      <w:spacing w:before="120"/>
      <w:ind w:firstLine="560" w:firstLineChars="200"/>
    </w:pPr>
    <w:rPr>
      <w:rFonts w:ascii="Cambria" w:hAnsi="Cambria"/>
      <w:szCs w:val="24"/>
    </w:rPr>
  </w:style>
  <w:style w:type="paragraph" w:styleId="11">
    <w:name w:val="annotation text"/>
    <w:basedOn w:val="1"/>
    <w:qFormat/>
    <w:uiPriority w:val="0"/>
    <w:pPr>
      <w:jc w:val="left"/>
    </w:pPr>
  </w:style>
  <w:style w:type="paragraph" w:styleId="12">
    <w:name w:val="Body Text"/>
    <w:basedOn w:val="1"/>
    <w:next w:val="13"/>
    <w:qFormat/>
    <w:uiPriority w:val="0"/>
    <w:rPr>
      <w:rFonts w:ascii="宋体" w:hAnsi="宋体"/>
      <w:spacing w:val="3"/>
      <w:kern w:val="0"/>
      <w:sz w:val="24"/>
    </w:rPr>
  </w:style>
  <w:style w:type="paragraph" w:styleId="13">
    <w:name w:val="toc 2"/>
    <w:basedOn w:val="1"/>
    <w:next w:val="1"/>
    <w:qFormat/>
    <w:uiPriority w:val="39"/>
    <w:pPr>
      <w:ind w:left="420" w:leftChars="200"/>
    </w:pPr>
  </w:style>
  <w:style w:type="paragraph" w:styleId="14">
    <w:name w:val="Body Text Indent"/>
    <w:basedOn w:val="1"/>
    <w:qFormat/>
    <w:uiPriority w:val="0"/>
    <w:pPr>
      <w:tabs>
        <w:tab w:val="left" w:pos="1155"/>
      </w:tabs>
      <w:ind w:firstLine="475" w:firstLineChars="198"/>
    </w:pPr>
    <w:rPr>
      <w:rFonts w:ascii="宋体" w:hAnsi="宋体"/>
      <w:sz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qFormat/>
    <w:uiPriority w:val="0"/>
    <w:pPr>
      <w:snapToGrid w:val="0"/>
      <w:jc w:val="left"/>
    </w:pPr>
    <w:rPr>
      <w:sz w:val="18"/>
    </w:rPr>
  </w:style>
  <w:style w:type="paragraph" w:styleId="18">
    <w:name w:val="Body Text First Indent"/>
    <w:basedOn w:val="12"/>
    <w:next w:val="19"/>
    <w:qFormat/>
    <w:uiPriority w:val="0"/>
    <w:pPr>
      <w:ind w:firstLine="420" w:firstLineChars="100"/>
    </w:pPr>
  </w:style>
  <w:style w:type="paragraph" w:styleId="19">
    <w:name w:val="Body Text First Indent 2"/>
    <w:basedOn w:val="14"/>
    <w:next w:val="1"/>
    <w:qFormat/>
    <w:uiPriority w:val="0"/>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25">
    <w:name w:val="正文格式"/>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kern w:val="0"/>
      <w:sz w:val="24"/>
      <w:lang w:val="en-US" w:eastAsia="zh-CN" w:bidi="ar-SA"/>
    </w:rPr>
  </w:style>
  <w:style w:type="paragraph" w:customStyle="1" w:styleId="26">
    <w:name w:val="BodyText1I2"/>
    <w:basedOn w:val="27"/>
    <w:qFormat/>
    <w:uiPriority w:val="0"/>
    <w:pPr>
      <w:tabs>
        <w:tab w:val="left" w:pos="1155"/>
      </w:tabs>
      <w:ind w:left="0" w:leftChars="0"/>
    </w:pPr>
    <w:rPr>
      <w:rFonts w:ascii="Times New Roman" w:hAnsi="Times New Roman"/>
      <w:sz w:val="28"/>
    </w:rPr>
  </w:style>
  <w:style w:type="paragraph" w:customStyle="1" w:styleId="27">
    <w:name w:val="BodyTextIndent"/>
    <w:basedOn w:val="1"/>
    <w:next w:val="28"/>
    <w:qFormat/>
    <w:uiPriority w:val="0"/>
    <w:pPr>
      <w:spacing w:after="120"/>
      <w:ind w:left="420" w:leftChars="200"/>
    </w:pPr>
  </w:style>
  <w:style w:type="paragraph" w:customStyle="1" w:styleId="28">
    <w:name w:val="NormalIndent"/>
    <w:basedOn w:val="1"/>
    <w:next w:val="29"/>
    <w:qFormat/>
    <w:uiPriority w:val="0"/>
    <w:pPr>
      <w:ind w:firstLine="420"/>
    </w:pPr>
  </w:style>
  <w:style w:type="paragraph" w:customStyle="1" w:styleId="29">
    <w:name w:val="UserStyle_14"/>
    <w:next w:val="1"/>
    <w:qFormat/>
    <w:uiPriority w:val="0"/>
    <w:pPr>
      <w:ind w:left="425"/>
      <w:jc w:val="both"/>
      <w:textAlignment w:val="baseline"/>
    </w:pPr>
    <w:rPr>
      <w:rFonts w:ascii="Times New Roman" w:hAnsi="Times New Roman" w:eastAsia="宋体" w:cstheme="minorBidi"/>
      <w:sz w:val="21"/>
      <w:lang w:val="en-US" w:eastAsia="zh-CN" w:bidi="ar-SA"/>
    </w:rPr>
  </w:style>
  <w:style w:type="paragraph" w:customStyle="1" w:styleId="30">
    <w:name w:val=" Char Char Char"/>
    <w:basedOn w:val="1"/>
    <w:unhideWhenUsed/>
    <w:qFormat/>
    <w:uiPriority w:val="0"/>
    <w:rPr>
      <w:rFonts w:ascii="Tahoma" w:hAnsi="Tahoma"/>
    </w:rPr>
  </w:style>
  <w:style w:type="paragraph" w:customStyle="1" w:styleId="31">
    <w:name w:val="Default"/>
    <w:next w:val="17"/>
    <w:qFormat/>
    <w:uiPriority w:val="0"/>
    <w:pPr>
      <w:widowControl w:val="0"/>
      <w:autoSpaceDE w:val="0"/>
      <w:autoSpaceDN w:val="0"/>
      <w:adjustRightInd w:val="0"/>
      <w:jc w:val="center"/>
    </w:pPr>
    <w:rPr>
      <w:rFonts w:ascii="宋体" w:hAnsi="Times New Roman" w:eastAsia="宋体" w:cs="宋体"/>
      <w:color w:val="000000"/>
      <w:sz w:val="24"/>
      <w:szCs w:val="24"/>
      <w:lang w:val="en-US" w:eastAsia="zh-CN" w:bidi="ar-SA"/>
    </w:rPr>
  </w:style>
  <w:style w:type="paragraph" w:customStyle="1" w:styleId="32">
    <w:name w:val="Body Text 2"/>
    <w:basedOn w:val="1"/>
    <w:qFormat/>
    <w:uiPriority w:val="0"/>
    <w:rPr>
      <w:rFonts w:eastAsia="宋体"/>
      <w:sz w:val="28"/>
    </w:rPr>
  </w:style>
  <w:style w:type="paragraph" w:customStyle="1" w:styleId="33">
    <w:name w:val="Normal Indent"/>
    <w:basedOn w:val="1"/>
    <w:next w:val="24"/>
    <w:qFormat/>
    <w:uiPriority w:val="0"/>
    <w:pPr>
      <w:ind w:firstLine="420" w:firstLineChars="200"/>
    </w:pPr>
    <w:rPr>
      <w:szCs w:val="24"/>
    </w:rPr>
  </w:style>
  <w:style w:type="paragraph" w:customStyle="1" w:styleId="34">
    <w:name w:val="批注框文本1"/>
    <w:basedOn w:val="1"/>
    <w:link w:val="35"/>
    <w:qFormat/>
    <w:uiPriority w:val="0"/>
    <w:rPr>
      <w:rFonts w:eastAsia="Times New Roman"/>
      <w:kern w:val="2"/>
      <w:sz w:val="18"/>
      <w:szCs w:val="18"/>
    </w:rPr>
  </w:style>
  <w:style w:type="character" w:customStyle="1" w:styleId="35">
    <w:name w:val="批注框文本 Char"/>
    <w:basedOn w:val="22"/>
    <w:link w:val="34"/>
    <w:semiHidden/>
    <w:qFormat/>
    <w:uiPriority w:val="0"/>
    <w:rPr>
      <w:rFonts w:eastAsia="Times New Roman"/>
      <w:kern w:val="2"/>
      <w:sz w:val="18"/>
      <w:szCs w:val="18"/>
    </w:rPr>
  </w:style>
  <w:style w:type="character" w:customStyle="1" w:styleId="36">
    <w:name w:val="正文首行缩进 2 Char"/>
    <w:basedOn w:val="22"/>
    <w:link w:val="37"/>
    <w:semiHidden/>
    <w:qFormat/>
    <w:uiPriority w:val="0"/>
    <w:rPr>
      <w:rFonts w:ascii="宋体" w:hAnsi="宋体" w:eastAsia="Times New Roman"/>
      <w:kern w:val="2"/>
      <w:sz w:val="24"/>
    </w:rPr>
  </w:style>
  <w:style w:type="paragraph" w:customStyle="1" w:styleId="37">
    <w:name w:val="Body Text First Indent 2"/>
    <w:basedOn w:val="38"/>
    <w:next w:val="1"/>
    <w:link w:val="36"/>
    <w:qFormat/>
    <w:uiPriority w:val="0"/>
    <w:pPr>
      <w:tabs>
        <w:tab w:val="left" w:pos="1155"/>
      </w:tabs>
      <w:ind w:firstLine="420" w:firstLineChars="200"/>
    </w:pPr>
    <w:rPr>
      <w:rFonts w:ascii="宋体" w:hAnsi="宋体" w:eastAsia="Times New Roman"/>
      <w:kern w:val="2"/>
      <w:sz w:val="24"/>
    </w:rPr>
  </w:style>
  <w:style w:type="paragraph" w:customStyle="1" w:styleId="38">
    <w:name w:val="Body Text Indent"/>
    <w:basedOn w:val="1"/>
    <w:next w:val="33"/>
    <w:qFormat/>
    <w:uiPriority w:val="0"/>
    <w:pPr>
      <w:tabs>
        <w:tab w:val="left" w:pos="1155"/>
      </w:tabs>
      <w:ind w:firstLine="475" w:firstLineChars="198"/>
    </w:pPr>
    <w:rPr>
      <w:rFonts w:ascii="宋体" w:hAnsi="宋体"/>
      <w:sz w:val="24"/>
    </w:rPr>
  </w:style>
  <w:style w:type="paragraph" w:customStyle="1" w:styleId="39">
    <w:name w:val="Body Text 3"/>
    <w:basedOn w:val="1"/>
    <w:qFormat/>
    <w:uiPriority w:val="0"/>
    <w:pPr>
      <w:spacing w:after="120"/>
    </w:pPr>
    <w:rPr>
      <w:sz w:val="16"/>
      <w:szCs w:val="16"/>
    </w:rPr>
  </w:style>
  <w:style w:type="paragraph" w:customStyle="1" w:styleId="40">
    <w:name w:val="Plain Text"/>
    <w:basedOn w:val="1"/>
    <w:qFormat/>
    <w:uiPriority w:val="0"/>
    <w:rPr>
      <w:rFonts w:ascii="宋体" w:hAnsi="Courier New"/>
      <w:szCs w:val="21"/>
    </w:rPr>
  </w:style>
  <w:style w:type="paragraph" w:customStyle="1" w:styleId="41">
    <w:name w:val="Date"/>
    <w:basedOn w:val="1"/>
    <w:next w:val="1"/>
    <w:qFormat/>
    <w:uiPriority w:val="0"/>
    <w:pPr>
      <w:adjustRightInd w:val="0"/>
      <w:spacing w:line="312" w:lineRule="atLeast"/>
      <w:textAlignment w:val="baseline"/>
    </w:pPr>
    <w:rPr>
      <w:rFonts w:ascii="仿宋体" w:eastAsia="仿宋体"/>
      <w:b/>
      <w:kern w:val="0"/>
      <w:sz w:val="36"/>
    </w:rPr>
  </w:style>
  <w:style w:type="paragraph" w:customStyle="1" w:styleId="42">
    <w:name w:val="Body Text Indent 2"/>
    <w:basedOn w:val="1"/>
    <w:qFormat/>
    <w:uiPriority w:val="0"/>
    <w:pPr>
      <w:spacing w:after="120" w:line="480" w:lineRule="auto"/>
      <w:ind w:left="420" w:leftChars="200"/>
    </w:pPr>
  </w:style>
  <w:style w:type="paragraph" w:customStyle="1" w:styleId="43">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44">
    <w:name w:val="Body Text First Indent"/>
    <w:basedOn w:val="12"/>
    <w:next w:val="37"/>
    <w:qFormat/>
    <w:uiPriority w:val="0"/>
    <w:pPr>
      <w:ind w:firstLine="420" w:firstLineChars="100"/>
    </w:pPr>
    <w:rPr>
      <w:rFonts w:ascii="Times New Roman" w:hAnsi="Times New Roman" w:eastAsia="宋体"/>
    </w:rPr>
  </w:style>
  <w:style w:type="paragraph" w:customStyle="1" w:styleId="45">
    <w:name w:val="Char"/>
    <w:basedOn w:val="1"/>
    <w:qFormat/>
    <w:uiPriority w:val="0"/>
    <w:rPr>
      <w:rFonts w:ascii="Tahoma" w:hAnsi="Tahoma"/>
      <w:sz w:val="24"/>
    </w:rPr>
  </w:style>
  <w:style w:type="paragraph" w:customStyle="1" w:styleId="4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7">
    <w:name w:val="Body text|2"/>
    <w:basedOn w:val="1"/>
    <w:link w:val="52"/>
    <w:qFormat/>
    <w:uiPriority w:val="0"/>
    <w:pPr>
      <w:shd w:val="clear" w:color="auto" w:fill="FFFFFF"/>
      <w:spacing w:after="340" w:line="160" w:lineRule="exact"/>
    </w:pPr>
    <w:rPr>
      <w:rFonts w:ascii="PMingLiU" w:hAnsi="PMingLiU" w:eastAsia="PMingLiU" w:cs="PMingLiU"/>
      <w:sz w:val="16"/>
      <w:szCs w:val="16"/>
      <w:u w:val="none"/>
    </w:rPr>
  </w:style>
  <w:style w:type="paragraph" w:customStyle="1" w:styleId="48">
    <w:name w:val="Table Paragraph"/>
    <w:basedOn w:val="1"/>
    <w:qFormat/>
    <w:uiPriority w:val="0"/>
    <w:pPr>
      <w:jc w:val="left"/>
    </w:pPr>
    <w:rPr>
      <w:rFonts w:ascii="Calibri" w:hAnsi="Calibri"/>
      <w:kern w:val="0"/>
      <w:sz w:val="22"/>
      <w:szCs w:val="22"/>
      <w:lang w:eastAsia="en-US"/>
    </w:rPr>
  </w:style>
  <w:style w:type="paragraph" w:customStyle="1" w:styleId="49">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50">
    <w:name w:val="正文1"/>
    <w:basedOn w:val="1"/>
    <w:qFormat/>
    <w:uiPriority w:val="0"/>
    <w:pPr>
      <w:adjustRightInd w:val="0"/>
      <w:spacing w:line="318" w:lineRule="atLeast"/>
      <w:ind w:left="369" w:firstLine="369"/>
      <w:textAlignment w:val="baseline"/>
    </w:pPr>
    <w:rPr>
      <w:rFonts w:ascii="宋体"/>
    </w:rPr>
  </w:style>
  <w:style w:type="character" w:customStyle="1" w:styleId="51">
    <w:name w:val="Body text|2 + 8.5 pt"/>
    <w:basedOn w:val="52"/>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52">
    <w:name w:val="Body text|2_"/>
    <w:basedOn w:val="22"/>
    <w:link w:val="47"/>
    <w:semiHidden/>
    <w:qFormat/>
    <w:uiPriority w:val="0"/>
    <w:rPr>
      <w:rFonts w:ascii="PMingLiU" w:hAnsi="PMingLiU" w:eastAsia="PMingLiU" w:cs="PMingLiU"/>
      <w:sz w:val="16"/>
      <w:szCs w:val="16"/>
      <w:u w:val="none"/>
    </w:rPr>
  </w:style>
  <w:style w:type="character" w:customStyle="1" w:styleId="53">
    <w:name w:val="Body text|2 + 10.5 pt"/>
    <w:basedOn w:val="52"/>
    <w:qFormat/>
    <w:uiPriority w:val="0"/>
    <w:rPr>
      <w:rFonts w:ascii="PMingLiU" w:hAnsi="PMingLiU" w:eastAsia="PMingLiU" w:cs="PMingLiU"/>
      <w:color w:val="000000"/>
      <w:spacing w:val="30"/>
      <w:w w:val="100"/>
      <w:position w:val="0"/>
      <w:sz w:val="21"/>
      <w:szCs w:val="21"/>
      <w:u w:val="none"/>
      <w:lang w:val="zh-CN" w:eastAsia="zh-CN" w:bidi="zh-CN"/>
    </w:rPr>
  </w:style>
  <w:style w:type="character" w:customStyle="1" w:styleId="54">
    <w:name w:val="Body text|2 + PMingLiU"/>
    <w:basedOn w:val="52"/>
    <w:qFormat/>
    <w:uiPriority w:val="0"/>
    <w:rPr>
      <w:rFonts w:ascii="PMingLiU" w:hAnsi="PMingLiU" w:eastAsia="PMingLiU" w:cs="PMingLiU"/>
      <w:color w:val="000000"/>
      <w:spacing w:val="30"/>
      <w:w w:val="100"/>
      <w:position w:val="0"/>
      <w:sz w:val="16"/>
      <w:szCs w:val="16"/>
      <w:u w:val="none"/>
      <w:lang w:val="zh-CN" w:eastAsia="zh-CN" w:bidi="zh-CN"/>
    </w:rPr>
  </w:style>
  <w:style w:type="character" w:customStyle="1" w:styleId="55">
    <w:name w:val="font61"/>
    <w:basedOn w:val="22"/>
    <w:qFormat/>
    <w:uiPriority w:val="0"/>
    <w:rPr>
      <w:rFonts w:hint="eastAsia" w:ascii="宋体" w:hAnsi="宋体" w:eastAsia="宋体" w:cs="宋体"/>
      <w:b/>
      <w:color w:val="000000"/>
      <w:sz w:val="21"/>
      <w:szCs w:val="21"/>
      <w:u w:val="none"/>
    </w:rPr>
  </w:style>
  <w:style w:type="character" w:customStyle="1" w:styleId="56">
    <w:name w:val="font11"/>
    <w:basedOn w:val="22"/>
    <w:qFormat/>
    <w:uiPriority w:val="0"/>
    <w:rPr>
      <w:rFonts w:hint="default" w:ascii="Times New Roman" w:hAnsi="Times New Roman" w:cs="Times New Roman"/>
      <w:b/>
      <w:color w:val="000000"/>
      <w:sz w:val="21"/>
      <w:szCs w:val="21"/>
      <w:u w:val="none"/>
    </w:rPr>
  </w:style>
  <w:style w:type="character" w:customStyle="1" w:styleId="57">
    <w:name w:val="font21"/>
    <w:basedOn w:val="22"/>
    <w:qFormat/>
    <w:uiPriority w:val="0"/>
    <w:rPr>
      <w:rFonts w:hint="eastAsia" w:ascii="宋体" w:hAnsi="宋体" w:eastAsia="宋体" w:cs="宋体"/>
      <w:b/>
      <w:color w:val="000000"/>
      <w:sz w:val="21"/>
      <w:szCs w:val="21"/>
      <w:u w:val="none"/>
    </w:rPr>
  </w:style>
  <w:style w:type="character" w:customStyle="1" w:styleId="58">
    <w:name w:val="font51"/>
    <w:basedOn w:val="22"/>
    <w:qFormat/>
    <w:uiPriority w:val="0"/>
    <w:rPr>
      <w:rFonts w:hint="default" w:ascii="Times New Roman" w:hAnsi="Times New Roman" w:cs="Times New Roman"/>
      <w:b/>
      <w:color w:val="000000"/>
      <w:sz w:val="21"/>
      <w:szCs w:val="21"/>
      <w:u w:val="none"/>
    </w:rPr>
  </w:style>
  <w:style w:type="character" w:customStyle="1" w:styleId="59">
    <w:name w:val="15"/>
    <w:basedOn w:val="22"/>
    <w:qFormat/>
    <w:uiPriority w:val="0"/>
    <w:rPr>
      <w:rFonts w:hint="default" w:ascii="Times New Roman" w:hAnsi="Times New Roman" w:cs="Times New Roman"/>
      <w:b/>
      <w:bCs/>
    </w:rPr>
  </w:style>
  <w:style w:type="character" w:customStyle="1" w:styleId="60">
    <w:name w:val="NormalCharacter"/>
    <w:qFormat/>
    <w:uiPriority w:val="0"/>
  </w:style>
  <w:style w:type="paragraph" w:customStyle="1" w:styleId="61">
    <w:name w:val="Heading #2|1"/>
    <w:basedOn w:val="1"/>
    <w:qFormat/>
    <w:uiPriority w:val="0"/>
    <w:pPr>
      <w:widowControl w:val="0"/>
      <w:shd w:val="clear" w:color="auto" w:fill="auto"/>
      <w:spacing w:before="450" w:after="360" w:line="630"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62">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63">
    <w:name w:val="Body text|6"/>
    <w:basedOn w:val="1"/>
    <w:qFormat/>
    <w:uiPriority w:val="0"/>
    <w:pPr>
      <w:widowControl w:val="0"/>
      <w:shd w:val="clear" w:color="auto" w:fill="auto"/>
      <w:ind w:hanging="1820"/>
    </w:pPr>
    <w:rPr>
      <w:sz w:val="20"/>
      <w:szCs w:val="20"/>
      <w:u w:val="none"/>
      <w:shd w:val="clear" w:color="auto" w:fill="auto"/>
      <w:lang w:val="zh-CN"/>
    </w:rPr>
  </w:style>
  <w:style w:type="paragraph" w:customStyle="1" w:styleId="64">
    <w:name w:val="正文 A"/>
    <w:basedOn w:val="1"/>
    <w:qFormat/>
    <w:uiPriority w:val="0"/>
    <w:pPr>
      <w:widowControl/>
      <w:jc w:val="left"/>
    </w:pPr>
    <w:rPr>
      <w:rFonts w:ascii="Arial Unicode MS" w:hAnsi="Arial Unicode MS" w:eastAsia="Arial Unicode MS"/>
      <w:color w:val="000000"/>
      <w:kern w:val="0"/>
      <w:sz w:val="22"/>
      <w:szCs w:val="22"/>
    </w:rPr>
  </w:style>
  <w:style w:type="character" w:customStyle="1" w:styleId="65">
    <w:name w:val="font41"/>
    <w:basedOn w:val="22"/>
    <w:qFormat/>
    <w:uiPriority w:val="0"/>
    <w:rPr>
      <w:rFonts w:hint="eastAsia" w:ascii="宋体" w:hAnsi="宋体" w:eastAsia="宋体" w:cs="宋体"/>
      <w:b/>
      <w:bCs/>
      <w:color w:val="000000"/>
      <w:sz w:val="18"/>
      <w:szCs w:val="18"/>
      <w:u w:val="none"/>
    </w:rPr>
  </w:style>
  <w:style w:type="table" w:customStyle="1" w:styleId="66">
    <w:name w:val="Table Normal"/>
    <w:unhideWhenUsed/>
    <w:qFormat/>
    <w:uiPriority w:val="0"/>
    <w:tblPr>
      <w:tblCellMar>
        <w:top w:w="0" w:type="dxa"/>
        <w:left w:w="0" w:type="dxa"/>
        <w:bottom w:w="0" w:type="dxa"/>
        <w:right w:w="0" w:type="dxa"/>
      </w:tblCellMar>
    </w:tblPr>
  </w:style>
  <w:style w:type="paragraph" w:customStyle="1" w:styleId="67">
    <w:name w:val="Table Text"/>
    <w:basedOn w:val="1"/>
    <w:semiHidden/>
    <w:qFormat/>
    <w:uiPriority w:val="0"/>
    <w:rPr>
      <w:rFonts w:ascii="宋体" w:hAnsi="宋体" w:eastAsia="宋体" w:cs="宋体"/>
      <w:sz w:val="21"/>
      <w:szCs w:val="21"/>
      <w:lang w:val="en-US" w:eastAsia="en-US" w:bidi="ar-SA"/>
    </w:rPr>
  </w:style>
  <w:style w:type="paragraph" w:customStyle="1" w:styleId="68">
    <w:name w:val="三级标题"/>
    <w:basedOn w:val="1"/>
    <w:qFormat/>
    <w:uiPriority w:val="1"/>
    <w:pPr>
      <w:ind w:left="237"/>
      <w:outlineLvl w:val="5"/>
    </w:pPr>
    <w:rPr>
      <w:rFonts w:ascii="宋体" w:hAnsi="宋体" w:eastAsia="宋体"/>
      <w:b/>
      <w:sz w:val="28"/>
      <w:szCs w:val="28"/>
    </w:rPr>
  </w:style>
  <w:style w:type="paragraph" w:customStyle="1" w:styleId="69">
    <w:name w:val="UserStyle_45"/>
    <w:qFormat/>
    <w:uiPriority w:val="0"/>
    <w:pPr>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70">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71">
    <w:name w:val="font141"/>
    <w:basedOn w:val="22"/>
    <w:qFormat/>
    <w:uiPriority w:val="0"/>
    <w:rPr>
      <w:rFonts w:ascii="Calibri" w:hAnsi="Calibri" w:cs="Calibri"/>
      <w:color w:val="000000"/>
      <w:sz w:val="22"/>
      <w:szCs w:val="22"/>
      <w:u w:val="none"/>
    </w:rPr>
  </w:style>
  <w:style w:type="character" w:customStyle="1" w:styleId="72">
    <w:name w:val="font151"/>
    <w:basedOn w:val="22"/>
    <w:qFormat/>
    <w:uiPriority w:val="0"/>
    <w:rPr>
      <w:rFonts w:hint="eastAsia" w:ascii="等线" w:hAnsi="等线" w:eastAsia="等线" w:cs="等线"/>
      <w:color w:val="000000"/>
      <w:sz w:val="22"/>
      <w:szCs w:val="22"/>
      <w:u w:val="none"/>
    </w:rPr>
  </w:style>
  <w:style w:type="character" w:customStyle="1" w:styleId="73">
    <w:name w:val="font161"/>
    <w:basedOn w:val="22"/>
    <w:qFormat/>
    <w:uiPriority w:val="0"/>
    <w:rPr>
      <w:rFonts w:ascii="Cambria Math" w:hAnsi="Cambria Math" w:eastAsia="Cambria Math" w:cs="Cambria Math"/>
      <w:color w:val="000000"/>
      <w:sz w:val="22"/>
      <w:szCs w:val="22"/>
      <w:u w:val="none"/>
    </w:rPr>
  </w:style>
  <w:style w:type="character" w:customStyle="1" w:styleId="74">
    <w:name w:val="font71"/>
    <w:basedOn w:val="22"/>
    <w:qFormat/>
    <w:uiPriority w:val="0"/>
    <w:rPr>
      <w:rFonts w:hint="eastAsia" w:ascii="仿宋_GB2312" w:eastAsia="仿宋_GB2312" w:cs="仿宋_GB2312"/>
      <w:color w:val="000000"/>
      <w:sz w:val="22"/>
      <w:szCs w:val="22"/>
      <w:u w:val="none"/>
    </w:rPr>
  </w:style>
  <w:style w:type="character" w:customStyle="1" w:styleId="75">
    <w:name w:val="font171"/>
    <w:basedOn w:val="22"/>
    <w:qFormat/>
    <w:uiPriority w:val="0"/>
    <w:rPr>
      <w:rFonts w:ascii="微软雅黑" w:hAnsi="微软雅黑" w:eastAsia="微软雅黑" w:cs="微软雅黑"/>
      <w:color w:val="000000"/>
      <w:sz w:val="20"/>
      <w:szCs w:val="20"/>
      <w:u w:val="none"/>
    </w:rPr>
  </w:style>
  <w:style w:type="character" w:customStyle="1" w:styleId="76">
    <w:name w:val="font181"/>
    <w:basedOn w:val="22"/>
    <w:qFormat/>
    <w:uiPriority w:val="0"/>
    <w:rPr>
      <w:rFonts w:hint="default" w:ascii="Cambria Math" w:hAnsi="Cambria Math" w:eastAsia="Cambria Math" w:cs="Cambria Math"/>
      <w:color w:val="000000"/>
      <w:sz w:val="20"/>
      <w:szCs w:val="20"/>
      <w:u w:val="none"/>
    </w:rPr>
  </w:style>
  <w:style w:type="character" w:customStyle="1" w:styleId="77">
    <w:name w:val="font191"/>
    <w:basedOn w:val="22"/>
    <w:qFormat/>
    <w:uiPriority w:val="0"/>
    <w:rPr>
      <w:rFonts w:hint="default" w:ascii="Calibri" w:hAnsi="Calibri" w:cs="Calibri"/>
      <w:color w:val="000000"/>
      <w:sz w:val="20"/>
      <w:szCs w:val="20"/>
      <w:u w:val="none"/>
    </w:rPr>
  </w:style>
  <w:style w:type="character" w:customStyle="1" w:styleId="78">
    <w:name w:val="font131"/>
    <w:basedOn w:val="22"/>
    <w:qFormat/>
    <w:uiPriority w:val="0"/>
    <w:rPr>
      <w:rFonts w:hint="eastAsia" w:ascii="宋体" w:hAnsi="宋体" w:eastAsia="宋体" w:cs="宋体"/>
      <w:color w:val="000000"/>
      <w:sz w:val="20"/>
      <w:szCs w:val="20"/>
      <w:u w:val="none"/>
    </w:rPr>
  </w:style>
  <w:style w:type="character" w:customStyle="1" w:styleId="79">
    <w:name w:val="font201"/>
    <w:basedOn w:val="22"/>
    <w:qFormat/>
    <w:uiPriority w:val="0"/>
    <w:rPr>
      <w:rFonts w:ascii="仿宋" w:hAnsi="仿宋" w:eastAsia="仿宋" w:cs="仿宋"/>
      <w:color w:val="000000"/>
      <w:sz w:val="20"/>
      <w:szCs w:val="20"/>
      <w:u w:val="none"/>
    </w:rPr>
  </w:style>
  <w:style w:type="character" w:customStyle="1" w:styleId="80">
    <w:name w:val="font111"/>
    <w:basedOn w:val="22"/>
    <w:qFormat/>
    <w:uiPriority w:val="0"/>
    <w:rPr>
      <w:rFonts w:hint="eastAsia" w:ascii="等线" w:hAnsi="等线" w:eastAsia="等线" w:cs="等线"/>
      <w:color w:val="000000"/>
      <w:sz w:val="22"/>
      <w:szCs w:val="22"/>
      <w:u w:val="none"/>
    </w:rPr>
  </w:style>
  <w:style w:type="character" w:customStyle="1" w:styleId="81">
    <w:name w:val="font212"/>
    <w:basedOn w:val="22"/>
    <w:qFormat/>
    <w:uiPriority w:val="0"/>
    <w:rPr>
      <w:rFonts w:hint="default" w:ascii="Cambria Math" w:hAnsi="Cambria Math" w:eastAsia="Cambria Math" w:cs="Cambria Math"/>
      <w:color w:val="000000"/>
      <w:sz w:val="20"/>
      <w:szCs w:val="20"/>
      <w:u w:val="none"/>
    </w:rPr>
  </w:style>
  <w:style w:type="character" w:customStyle="1" w:styleId="82">
    <w:name w:val="font221"/>
    <w:basedOn w:val="22"/>
    <w:qFormat/>
    <w:uiPriority w:val="0"/>
    <w:rPr>
      <w:rFonts w:hint="default" w:ascii="Calibri" w:hAnsi="Calibri" w:cs="Calibri"/>
      <w:color w:val="000000"/>
      <w:sz w:val="20"/>
      <w:szCs w:val="20"/>
      <w:u w:val="none"/>
    </w:rPr>
  </w:style>
  <w:style w:type="character" w:customStyle="1" w:styleId="83">
    <w:name w:val="font231"/>
    <w:basedOn w:val="22"/>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6090</Words>
  <Characters>6492</Characters>
  <Lines>68</Lines>
  <Paragraphs>56</Paragraphs>
  <TotalTime>63</TotalTime>
  <ScaleCrop>false</ScaleCrop>
  <LinksUpToDate>false</LinksUpToDate>
  <CharactersWithSpaces>6664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2019-04-25T16:01:00Z</dcterms:created>
  <dc:creator>施立萍</dc:creator>
  <cp:lastModifiedBy>甄志杰-沧州数产科技</cp:lastModifiedBy>
  <cp:lastPrinted>2024-09-13T00:57:00Z</cp:lastPrinted>
  <dcterms:modified xsi:type="dcterms:W3CDTF">2025-04-21T09:00:39Z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6684C1C326C945418CEA0120832DDDD4_13</vt:lpwstr>
  </property>
  <property fmtid="{D5CDD505-2E9C-101B-9397-08002B2CF9AE}" pid="4" name="KSOTemplateDocerSaveRecord">
    <vt:lpwstr>eyJoZGlkIjoiZDIzOWI5ZTQyZDI5ZGNlM2Q1ZjAxOTA1MDg3MjIzYjciLCJ1c2VySWQiOiIyMTI5MTM1NDkifQ==</vt:lpwstr>
  </property>
</Properties>
</file>